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6C9BC">
      <w:pPr>
        <w:keepNext w:val="0"/>
        <w:keepLines w:val="0"/>
        <w:pageBreakBefore w:val="0"/>
        <w:widowControl w:val="0"/>
        <w:kinsoku/>
        <w:overflowPunct/>
        <w:topLinePunct w:val="0"/>
        <w:autoSpaceDE/>
        <w:autoSpaceDN/>
        <w:bidi w:val="0"/>
        <w:adjustRightInd/>
        <w:snapToGrid/>
        <w:spacing w:after="0" w:line="560" w:lineRule="exact"/>
        <w:jc w:val="both"/>
        <w:textAlignment w:val="auto"/>
        <w:rPr>
          <w:rFonts w:hint="default" w:ascii="Times New Roman" w:hAnsi="Times New Roman" w:eastAsia="方正小标宋_GBK" w:cs="Times New Roman"/>
          <w:bCs/>
          <w:color w:val="000000" w:themeColor="text1"/>
          <w:sz w:val="44"/>
          <w:szCs w:val="44"/>
          <w14:textFill>
            <w14:solidFill>
              <w14:schemeClr w14:val="tx1"/>
            </w14:solidFill>
          </w14:textFill>
          <w14:ligatures w14:val="none"/>
        </w:rPr>
      </w:pPr>
      <w:bookmarkStart w:id="0" w:name="_GoBack"/>
      <w:bookmarkEnd w:id="0"/>
    </w:p>
    <w:p w14:paraId="069D9D91">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default" w:ascii="Times New Roman" w:hAnsi="Times New Roman" w:eastAsia="方正小标宋_GBK" w:cs="Times New Roman"/>
          <w:bCs/>
          <w:color w:val="000000" w:themeColor="text1"/>
          <w:sz w:val="44"/>
          <w:szCs w:val="44"/>
          <w14:textFill>
            <w14:solidFill>
              <w14:schemeClr w14:val="tx1"/>
            </w14:solidFill>
          </w14:textFill>
          <w14:ligatures w14:val="none"/>
        </w:rPr>
      </w:pPr>
      <w:r>
        <w:rPr>
          <w:rFonts w:hint="default" w:ascii="Times New Roman" w:hAnsi="Times New Roman" w:eastAsia="方正小标宋_GBK" w:cs="Times New Roman"/>
          <w:bCs/>
          <w:color w:val="000000" w:themeColor="text1"/>
          <w:sz w:val="44"/>
          <w:szCs w:val="44"/>
          <w14:textFill>
            <w14:solidFill>
              <w14:schemeClr w14:val="tx1"/>
            </w14:solidFill>
          </w14:textFill>
          <w14:ligatures w14:val="none"/>
        </w:rPr>
        <w:t>关于进一步加强职工基本医疗保险个人账户</w:t>
      </w:r>
    </w:p>
    <w:p w14:paraId="4B3A51BD">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default" w:ascii="Times New Roman" w:hAnsi="Times New Roman" w:eastAsia="方正小标宋_GBK" w:cs="Times New Roman"/>
          <w:bCs/>
          <w:color w:val="000000" w:themeColor="text1"/>
          <w:sz w:val="44"/>
          <w:szCs w:val="44"/>
          <w14:textFill>
            <w14:solidFill>
              <w14:schemeClr w14:val="tx1"/>
            </w14:solidFill>
          </w14:textFill>
          <w14:ligatures w14:val="none"/>
        </w:rPr>
      </w:pPr>
      <w:r>
        <w:rPr>
          <w:rFonts w:hint="default" w:ascii="Times New Roman" w:hAnsi="Times New Roman" w:eastAsia="方正小标宋_GBK" w:cs="Times New Roman"/>
          <w:bCs/>
          <w:color w:val="000000" w:themeColor="text1"/>
          <w:sz w:val="44"/>
          <w:szCs w:val="44"/>
          <w14:textFill>
            <w14:solidFill>
              <w14:schemeClr w14:val="tx1"/>
            </w14:solidFill>
          </w14:textFill>
          <w14:ligatures w14:val="none"/>
        </w:rPr>
        <w:t>使用监督管理的通知</w:t>
      </w:r>
    </w:p>
    <w:p w14:paraId="265A4F5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楷体_GBK" w:cs="Times New Roman"/>
          <w:i w:val="0"/>
          <w:iCs w:val="0"/>
          <w:caps w:val="0"/>
          <w:color w:val="000000" w:themeColor="text1"/>
          <w:spacing w:val="-4"/>
          <w:sz w:val="32"/>
          <w:szCs w:val="32"/>
          <w:shd w:val="clear" w:fill="FFFFFF"/>
          <w14:textFill>
            <w14:solidFill>
              <w14:schemeClr w14:val="tx1"/>
            </w14:solidFill>
          </w14:textFill>
        </w:rPr>
      </w:pPr>
      <w:r>
        <w:rPr>
          <w:rFonts w:hint="default" w:ascii="Times New Roman" w:hAnsi="Times New Roman" w:eastAsia="方正楷体_GBK" w:cs="Times New Roman"/>
          <w:i w:val="0"/>
          <w:iCs w:val="0"/>
          <w:caps w:val="0"/>
          <w:color w:val="000000" w:themeColor="text1"/>
          <w:spacing w:val="-4"/>
          <w:sz w:val="32"/>
          <w:szCs w:val="32"/>
          <w:shd w:val="clear" w:fill="FFFFFF"/>
          <w14:textFill>
            <w14:solidFill>
              <w14:schemeClr w14:val="tx1"/>
            </w14:solidFill>
          </w14:textFill>
        </w:rPr>
        <w:t>（征求意见稿）</w:t>
      </w:r>
    </w:p>
    <w:p w14:paraId="405AAC8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楷体_GBK" w:cs="Times New Roman"/>
          <w:i w:val="0"/>
          <w:iCs w:val="0"/>
          <w:caps w:val="0"/>
          <w:color w:val="000000" w:themeColor="text1"/>
          <w:spacing w:val="-4"/>
          <w:sz w:val="32"/>
          <w:szCs w:val="32"/>
          <w:shd w:val="clear" w:fill="FFFFFF"/>
          <w14:textFill>
            <w14:solidFill>
              <w14:schemeClr w14:val="tx1"/>
            </w14:solidFill>
          </w14:textFill>
        </w:rPr>
      </w:pPr>
    </w:p>
    <w:p w14:paraId="1B4B8B90">
      <w:pPr>
        <w:keepNext w:val="0"/>
        <w:keepLines w:val="0"/>
        <w:pageBreakBefore w:val="0"/>
        <w:widowControl w:val="0"/>
        <w:kinsoku/>
        <w:overflowPunct/>
        <w:topLinePunct w:val="0"/>
        <w:autoSpaceDE/>
        <w:autoSpaceDN/>
        <w:bidi w:val="0"/>
        <w:adjustRightInd/>
        <w:snapToGrid/>
        <w:spacing w:line="576" w:lineRule="exac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各师市医疗保障局</w:t>
      </w:r>
      <w:r>
        <w:rPr>
          <w:rFonts w:hint="eastAsia" w:cs="Times New Roman"/>
          <w:kern w:val="2"/>
          <w:sz w:val="32"/>
          <w:szCs w:val="32"/>
          <w:lang w:val="en-US" w:eastAsia="zh-CN" w:bidi="ar-SA"/>
        </w:rPr>
        <w:t>、财政局，</w:t>
      </w:r>
      <w:r>
        <w:rPr>
          <w:rFonts w:hint="default" w:ascii="Times New Roman" w:hAnsi="Times New Roman" w:eastAsia="仿宋_GB2312" w:cs="Times New Roman"/>
          <w:kern w:val="2"/>
          <w:sz w:val="32"/>
          <w:szCs w:val="32"/>
          <w:lang w:val="en-US" w:eastAsia="zh-CN" w:bidi="ar-SA"/>
        </w:rPr>
        <w:t>各定点零售药店：</w:t>
      </w:r>
    </w:p>
    <w:p w14:paraId="1C91502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为贯彻落实《国家医保局办公室 财政部办公厅关于进一步加强定点零售药店职工基本医疗保险个人账户使用监督管理的通知》（医保办发〔2026〕7号）要求，进一步规范兵团</w:t>
      </w:r>
      <w:r>
        <w:rPr>
          <w:rFonts w:hint="eastAsia" w:cs="Times New Roman"/>
          <w:kern w:val="2"/>
          <w:sz w:val="32"/>
          <w:szCs w:val="32"/>
          <w:lang w:val="en-US" w:eastAsia="zh-CN" w:bidi="ar-SA"/>
        </w:rPr>
        <w:t>定点零售药店</w:t>
      </w:r>
      <w:r>
        <w:rPr>
          <w:rFonts w:hint="default" w:ascii="Times New Roman" w:hAnsi="Times New Roman" w:eastAsia="仿宋_GB2312" w:cs="Times New Roman"/>
          <w:kern w:val="2"/>
          <w:sz w:val="32"/>
          <w:szCs w:val="32"/>
          <w:lang w:val="en-US" w:eastAsia="zh-CN" w:bidi="ar-SA"/>
        </w:rPr>
        <w:t>职工基本医疗保险个人账户（以下简称</w:t>
      </w:r>
      <w:r>
        <w:rPr>
          <w:rFonts w:hint="eastAsia" w:cs="Times New Roman"/>
          <w:kern w:val="2"/>
          <w:sz w:val="32"/>
          <w:szCs w:val="32"/>
          <w:lang w:val="en-US" w:eastAsia="zh-CN" w:bidi="ar-SA"/>
        </w:rPr>
        <w:t>职工医保</w:t>
      </w:r>
      <w:r>
        <w:rPr>
          <w:rFonts w:hint="default" w:ascii="Times New Roman" w:hAnsi="Times New Roman" w:eastAsia="仿宋_GB2312" w:cs="Times New Roman"/>
          <w:kern w:val="2"/>
          <w:sz w:val="32"/>
          <w:szCs w:val="32"/>
          <w:lang w:val="en-US" w:eastAsia="zh-CN" w:bidi="ar-SA"/>
        </w:rPr>
        <w:t>个人账户）使用监督管理工作，现就有关事项通知如下：</w:t>
      </w:r>
    </w:p>
    <w:p w14:paraId="3B94EF8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微软雅黑"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一、</w:t>
      </w:r>
      <w:r>
        <w:rPr>
          <w:rFonts w:hint="eastAsia" w:eastAsia="黑体" w:cs="Times New Roman"/>
          <w:i w:val="0"/>
          <w:iCs w:val="0"/>
          <w:caps w:val="0"/>
          <w:color w:val="000000" w:themeColor="text1"/>
          <w:spacing w:val="0"/>
          <w:sz w:val="32"/>
          <w:szCs w:val="32"/>
          <w:shd w:val="clear" w:fill="FFFFFF"/>
          <w:lang w:val="en-US" w:eastAsia="zh-CN"/>
          <w14:textFill>
            <w14:solidFill>
              <w14:schemeClr w14:val="tx1"/>
            </w14:solidFill>
          </w14:textFill>
        </w:rPr>
        <w:t>明确</w:t>
      </w: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个人账户支付范围</w:t>
      </w:r>
    </w:p>
    <w:p w14:paraId="4CE6048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kern w:val="2"/>
          <w:sz w:val="32"/>
          <w:szCs w:val="32"/>
          <w:lang w:val="en-US" w:eastAsia="zh-CN" w:bidi="ar-SA"/>
        </w:rPr>
      </w:pPr>
      <w:r>
        <w:rPr>
          <w:rFonts w:hint="eastAsia" w:cs="Times New Roman"/>
          <w:kern w:val="2"/>
          <w:sz w:val="32"/>
          <w:szCs w:val="32"/>
          <w:lang w:val="en-US" w:eastAsia="zh-CN" w:bidi="ar-SA"/>
        </w:rPr>
        <w:t>职工医保</w:t>
      </w:r>
      <w:r>
        <w:rPr>
          <w:rFonts w:hint="default" w:ascii="Times New Roman" w:hAnsi="Times New Roman" w:eastAsia="仿宋_GB2312" w:cs="Times New Roman"/>
          <w:kern w:val="2"/>
          <w:sz w:val="32"/>
          <w:szCs w:val="32"/>
          <w:lang w:val="en-US" w:eastAsia="zh-CN" w:bidi="ar-SA"/>
        </w:rPr>
        <w:t>个人账户是职工基本医保基金的重要组成部分</w:t>
      </w:r>
      <w:r>
        <w:rPr>
          <w:rFonts w:hint="eastAsia"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积极发挥个人账户保障功能，可用于支付职工本人及已参保近亲属在定点医药机构就医购药发生的由个人负担的合规医药费用，支付职工本人参加职工大额医疗费用补助、长期护理保险、“</w:t>
      </w:r>
      <w:r>
        <w:rPr>
          <w:rFonts w:hint="eastAsia" w:cs="Times New Roman"/>
          <w:kern w:val="2"/>
          <w:sz w:val="32"/>
          <w:szCs w:val="32"/>
          <w:lang w:val="en-US" w:eastAsia="zh-CN" w:bidi="ar-SA"/>
        </w:rPr>
        <w:t>兵团</w:t>
      </w:r>
      <w:r>
        <w:rPr>
          <w:rFonts w:hint="default" w:ascii="Times New Roman" w:hAnsi="Times New Roman" w:eastAsia="仿宋_GB2312" w:cs="Times New Roman"/>
          <w:kern w:val="2"/>
          <w:sz w:val="32"/>
          <w:szCs w:val="32"/>
          <w:lang w:val="en-US" w:eastAsia="zh-CN" w:bidi="ar-SA"/>
        </w:rPr>
        <w:t>惠民保”的个人缴费部分以及在定点医药机构就医购药发生的个人自付医药费用</w:t>
      </w:r>
      <w:r>
        <w:rPr>
          <w:rFonts w:hint="eastAsia"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支付流感等非免疫规划疫苗费用、注射服务费</w:t>
      </w:r>
      <w:r>
        <w:rPr>
          <w:rFonts w:hint="eastAsia"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支付近亲属参加</w:t>
      </w:r>
      <w:r>
        <w:rPr>
          <w:rFonts w:hint="eastAsia" w:cs="Times New Roman"/>
          <w:kern w:val="2"/>
          <w:sz w:val="32"/>
          <w:szCs w:val="32"/>
          <w:lang w:val="en-US" w:eastAsia="zh-CN" w:bidi="ar-SA"/>
        </w:rPr>
        <w:t>兵团</w:t>
      </w:r>
      <w:r>
        <w:rPr>
          <w:rFonts w:hint="default" w:ascii="Times New Roman" w:hAnsi="Times New Roman" w:eastAsia="仿宋_GB2312" w:cs="Times New Roman"/>
          <w:kern w:val="2"/>
          <w:sz w:val="32"/>
          <w:szCs w:val="32"/>
          <w:lang w:val="en-US" w:eastAsia="zh-CN" w:bidi="ar-SA"/>
        </w:rPr>
        <w:t>城乡居民基本医疗保险、长期护理保险、“</w:t>
      </w:r>
      <w:r>
        <w:rPr>
          <w:rFonts w:hint="eastAsia" w:cs="Times New Roman"/>
          <w:kern w:val="2"/>
          <w:sz w:val="32"/>
          <w:szCs w:val="32"/>
          <w:lang w:val="en-US" w:eastAsia="zh-CN" w:bidi="ar-SA"/>
        </w:rPr>
        <w:t>兵团</w:t>
      </w:r>
      <w:r>
        <w:rPr>
          <w:rFonts w:hint="default" w:ascii="Times New Roman" w:hAnsi="Times New Roman" w:eastAsia="仿宋_GB2312" w:cs="Times New Roman"/>
          <w:kern w:val="2"/>
          <w:sz w:val="32"/>
          <w:szCs w:val="32"/>
          <w:lang w:val="en-US" w:eastAsia="zh-CN" w:bidi="ar-SA"/>
        </w:rPr>
        <w:t>惠民保”的个人缴费部分及已参保近亲属在定点医药机构就医购药发生的个人自付医药费用。</w:t>
      </w:r>
      <w:r>
        <w:rPr>
          <w:rFonts w:hint="eastAsia" w:cs="Times New Roman"/>
          <w:kern w:val="2"/>
          <w:sz w:val="32"/>
          <w:szCs w:val="32"/>
          <w:lang w:val="en-US" w:eastAsia="zh-CN" w:bidi="ar-SA"/>
        </w:rPr>
        <w:t>同时要始终坚持“保基本”的功能地位，合理稳妥、灵活有度规范职工个人账户使用，防止将不属于基本医疗保险范围内的不合理费用纳入支出范围，坚决维护医保基金安全。</w:t>
      </w:r>
    </w:p>
    <w:p w14:paraId="1C4DCD4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eastAsia="黑体"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二、</w:t>
      </w:r>
      <w:r>
        <w:rPr>
          <w:rFonts w:hint="eastAsia" w:eastAsia="黑体" w:cs="Times New Roman"/>
          <w:i w:val="0"/>
          <w:iCs w:val="0"/>
          <w:caps w:val="0"/>
          <w:color w:val="000000" w:themeColor="text1"/>
          <w:spacing w:val="0"/>
          <w:sz w:val="32"/>
          <w:szCs w:val="32"/>
          <w:shd w:val="clear" w:fill="FFFFFF"/>
          <w:lang w:val="en-US" w:eastAsia="zh-CN"/>
          <w14:textFill>
            <w14:solidFill>
              <w14:schemeClr w14:val="tx1"/>
            </w14:solidFill>
          </w14:textFill>
        </w:rPr>
        <w:t>规范个人账户使用监督管理</w:t>
      </w:r>
    </w:p>
    <w:p w14:paraId="43E8293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eastAsia" w:cs="Times New Roman"/>
          <w:kern w:val="2"/>
          <w:sz w:val="32"/>
          <w:szCs w:val="32"/>
          <w:lang w:val="en-US" w:eastAsia="zh-CN" w:bidi="ar-SA"/>
        </w:rPr>
      </w:pP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楷体_GB2312" w:hAnsi="楷体_GB2312" w:eastAsia="楷体_GB2312" w:cs="楷体_GB2312"/>
          <w:sz w:val="32"/>
          <w:szCs w:val="32"/>
          <w14:ligatures w14:val="none"/>
        </w:rPr>
        <w:t>建立</w:t>
      </w:r>
      <w:r>
        <w:rPr>
          <w:rFonts w:hint="eastAsia" w:ascii="楷体_GB2312" w:hAnsi="楷体_GB2312" w:eastAsia="楷体_GB2312" w:cs="楷体_GB2312"/>
          <w:sz w:val="32"/>
          <w:szCs w:val="32"/>
          <w:lang w:val="en-US" w:eastAsia="zh-CN"/>
          <w14:ligatures w14:val="none"/>
        </w:rPr>
        <w:t>个人账户支付</w:t>
      </w:r>
      <w:r>
        <w:rPr>
          <w:rFonts w:hint="eastAsia" w:ascii="楷体_GB2312" w:hAnsi="楷体_GB2312" w:eastAsia="楷体_GB2312" w:cs="楷体_GB2312"/>
          <w:sz w:val="32"/>
          <w:szCs w:val="32"/>
          <w14:ligatures w14:val="none"/>
        </w:rPr>
        <w:t>白名单</w:t>
      </w:r>
      <w:r>
        <w:rPr>
          <w:rFonts w:hint="eastAsia" w:ascii="楷体_GB2312" w:hAnsi="楷体_GB2312" w:eastAsia="楷体_GB2312" w:cs="楷体_GB2312"/>
          <w:sz w:val="32"/>
          <w:szCs w:val="32"/>
          <w:lang w:val="en-US" w:eastAsia="zh-CN"/>
          <w14:ligatures w14:val="none"/>
        </w:rPr>
        <w:t>制度。</w:t>
      </w:r>
      <w:r>
        <w:rPr>
          <w:rFonts w:hint="default" w:ascii="Times New Roman" w:hAnsi="Times New Roman" w:eastAsia="仿宋_GB2312" w:cs="Times New Roman"/>
          <w:kern w:val="2"/>
          <w:sz w:val="32"/>
          <w:szCs w:val="32"/>
          <w:lang w:val="en-US" w:eastAsia="zh-CN" w:bidi="ar-SA"/>
        </w:rPr>
        <w:t>结合参保群众日常购药实际和医药技术发展实际，制定</w:t>
      </w:r>
      <w:r>
        <w:rPr>
          <w:rFonts w:hint="eastAsia" w:ascii="Times New Roman" w:hAnsi="Times New Roman" w:eastAsia="仿宋_GB2312" w:cs="Times New Roman"/>
          <w:kern w:val="2"/>
          <w:sz w:val="32"/>
          <w:szCs w:val="32"/>
          <w:lang w:val="en-US" w:eastAsia="zh-CN" w:bidi="ar-SA"/>
        </w:rPr>
        <w:t>兵团</w:t>
      </w:r>
      <w:r>
        <w:rPr>
          <w:rFonts w:hint="default" w:ascii="Times New Roman" w:hAnsi="Times New Roman" w:eastAsia="仿宋_GB2312" w:cs="Times New Roman"/>
          <w:kern w:val="2"/>
          <w:sz w:val="32"/>
          <w:szCs w:val="32"/>
          <w:lang w:val="en-US" w:eastAsia="zh-CN" w:bidi="ar-SA"/>
        </w:rPr>
        <w:t>定点零售药店职工医保个人账户支付白名单。经药监部门正式批准注册或备案</w:t>
      </w:r>
      <w:r>
        <w:rPr>
          <w:rFonts w:hint="eastAsia"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已取得相应的医保结算编码（含国家临时过渡码），与治疗密切相关、医疗属性强、价格适宜的药品、医用耗材、体外诊断试剂、医疗器械和特殊医学用途配方食品，纳入职工基本医疗保险个人账户支付白名单。对保健品，按医疗器械批准但以生活功能为主、医疗属性不强的器械耗材，非特医食品的米、面、油，部分单方售卖的中药饮片等，</w:t>
      </w:r>
      <w:r>
        <w:rPr>
          <w:rFonts w:hint="eastAsia" w:cs="Times New Roman"/>
          <w:kern w:val="2"/>
          <w:sz w:val="32"/>
          <w:szCs w:val="32"/>
          <w:lang w:val="en-US" w:eastAsia="zh-CN" w:bidi="ar-SA"/>
        </w:rPr>
        <w:t>实行负面清单管理，</w:t>
      </w:r>
      <w:r>
        <w:rPr>
          <w:rFonts w:hint="default" w:ascii="Times New Roman" w:hAnsi="Times New Roman" w:eastAsia="仿宋_GB2312" w:cs="Times New Roman"/>
          <w:kern w:val="2"/>
          <w:sz w:val="32"/>
          <w:szCs w:val="32"/>
          <w:lang w:val="en-US" w:eastAsia="zh-CN" w:bidi="ar-SA"/>
        </w:rPr>
        <w:t>不得纳入个人账户支付范围。</w:t>
      </w:r>
      <w:r>
        <w:rPr>
          <w:rFonts w:hint="eastAsia" w:cs="Times New Roman"/>
          <w:kern w:val="2"/>
          <w:sz w:val="32"/>
          <w:szCs w:val="32"/>
          <w:lang w:val="en-US" w:eastAsia="zh-CN" w:bidi="ar-SA"/>
        </w:rPr>
        <w:t>白名单根据实际情况实行动态调整。</w:t>
      </w:r>
    </w:p>
    <w:p w14:paraId="3EE6468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（二）加强定点零售药店协议管理。</w:t>
      </w:r>
      <w:r>
        <w:rPr>
          <w:rFonts w:hint="eastAsia" w:cs="Times New Roman"/>
          <w:kern w:val="2"/>
          <w:sz w:val="32"/>
          <w:szCs w:val="32"/>
          <w:lang w:val="en-US" w:eastAsia="zh-CN" w:bidi="ar-SA"/>
        </w:rPr>
        <w:t>兵</w:t>
      </w:r>
      <w:r>
        <w:rPr>
          <w:rFonts w:hint="eastAsia" w:cs="Times New Roman"/>
          <w:b w:val="0"/>
          <w:bCs w:val="0"/>
          <w:kern w:val="2"/>
          <w:sz w:val="32"/>
          <w:szCs w:val="32"/>
          <w:lang w:val="en-US" w:eastAsia="zh-CN" w:bidi="ar-SA"/>
        </w:rPr>
        <w:t>团医疗保障事业管理中心负责制定补充协议文本并指导协议签订工作，各师市医保经办机构按时完成协议签订任务，将兵团</w:t>
      </w:r>
      <w:r>
        <w:rPr>
          <w:rFonts w:hint="default" w:cs="Times New Roman"/>
          <w:b w:val="0"/>
          <w:bCs w:val="0"/>
          <w:kern w:val="2"/>
          <w:sz w:val="32"/>
          <w:szCs w:val="32"/>
          <w:lang w:val="en-US" w:eastAsia="zh-CN" w:bidi="ar-SA"/>
        </w:rPr>
        <w:t>统一的定点零售药店职工医保个人账户</w:t>
      </w:r>
      <w:r>
        <w:rPr>
          <w:rFonts w:hint="default" w:ascii="Times New Roman" w:hAnsi="Times New Roman" w:eastAsia="仿宋_GB2312" w:cs="Times New Roman"/>
          <w:b w:val="0"/>
          <w:bCs w:val="0"/>
          <w:kern w:val="2"/>
          <w:sz w:val="32"/>
          <w:szCs w:val="32"/>
          <w:lang w:val="en-US" w:eastAsia="zh-CN" w:bidi="ar-SA"/>
        </w:rPr>
        <w:t>支付白名单机制纳入定点零售药店协议管理事项，进一步加强定点零售药店协议管理。定点零售药店要严格按照有关规定实行分类分区管理，设置清晰统一的医保标识；个人账户不予支付的药品、医疗器械和医用耗材等产品不允许进入医保基金支付区；严禁定点零售药店将非医保支付区与医</w:t>
      </w:r>
      <w:r>
        <w:rPr>
          <w:rFonts w:hint="default" w:ascii="Times New Roman" w:hAnsi="Times New Roman" w:eastAsia="仿宋_GB2312" w:cs="Times New Roman"/>
          <w:kern w:val="2"/>
          <w:sz w:val="32"/>
          <w:szCs w:val="32"/>
          <w:lang w:val="en-US" w:eastAsia="zh-CN" w:bidi="ar-SA"/>
        </w:rPr>
        <w:t>保支付区进行串换支付；严禁定点零售药店通过曲解政策、诱导消费、夸大宣传等方式和手段，诱导参保人员超出医保合规支付范围，使用职工医保个人账户购买白名单之外的产品；严禁定点零售药店对医保参保人员使用个人账户支付时实行不公平、歧视性价格，不得因支付方式不同而设置两种价格标准，不得以高于非医保患者的价格销售同一产品。</w:t>
      </w:r>
    </w:p>
    <w:p w14:paraId="15127EE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（三）</w:t>
      </w:r>
      <w:r>
        <w:rPr>
          <w:rFonts w:hint="default"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规范医保编码应用管理</w:t>
      </w: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cs="Times New Roman"/>
          <w:b w:val="0"/>
          <w:bCs w:val="0"/>
          <w:kern w:val="2"/>
          <w:sz w:val="32"/>
          <w:szCs w:val="32"/>
          <w:lang w:val="en-US" w:eastAsia="zh-CN" w:bidi="ar-SA"/>
        </w:rPr>
        <w:t>各师市医保经办机构</w:t>
      </w:r>
      <w:r>
        <w:rPr>
          <w:rFonts w:hint="eastAsia" w:cs="Times New Roman"/>
          <w:kern w:val="2"/>
          <w:sz w:val="32"/>
          <w:szCs w:val="32"/>
          <w:lang w:val="en-US" w:eastAsia="zh-CN" w:bidi="ar-SA"/>
        </w:rPr>
        <w:t>要</w:t>
      </w:r>
      <w:r>
        <w:rPr>
          <w:rFonts w:hint="default" w:ascii="Times New Roman" w:hAnsi="Times New Roman" w:eastAsia="仿宋_GB2312" w:cs="Times New Roman"/>
          <w:kern w:val="2"/>
          <w:sz w:val="32"/>
          <w:szCs w:val="32"/>
          <w:lang w:val="en-US" w:eastAsia="zh-CN" w:bidi="ar-SA"/>
        </w:rPr>
        <w:t>进一步加强赋码信息校验，对实物与医保信息业务编码标准数据库中填报的注册备案信息不一致的产品、通过伪造注册备案信息获取医保编码的产品，发现一例、清理一例，立即停用相关产品的医保编码。</w:t>
      </w:r>
      <w:r>
        <w:rPr>
          <w:rFonts w:hint="default" w:ascii="Times New Roman" w:hAnsi="Times New Roman" w:eastAsia="仿宋_GB2312" w:cs="Times New Roman"/>
          <w:b w:val="0"/>
          <w:bCs w:val="0"/>
          <w:kern w:val="2"/>
          <w:sz w:val="32"/>
          <w:szCs w:val="32"/>
          <w:lang w:val="en-US" w:eastAsia="zh-CN" w:bidi="ar-SA"/>
        </w:rPr>
        <w:t>定点零售药店</w:t>
      </w:r>
      <w:r>
        <w:rPr>
          <w:rFonts w:hint="eastAsia" w:cs="Times New Roman"/>
          <w:b w:val="0"/>
          <w:bCs w:val="0"/>
          <w:kern w:val="2"/>
          <w:sz w:val="32"/>
          <w:szCs w:val="32"/>
          <w:lang w:val="en-US" w:eastAsia="zh-CN" w:bidi="ar-SA"/>
        </w:rPr>
        <w:t>要</w:t>
      </w:r>
      <w:r>
        <w:rPr>
          <w:rFonts w:hint="default" w:ascii="Times New Roman" w:hAnsi="Times New Roman" w:eastAsia="仿宋_GB2312" w:cs="Times New Roman"/>
          <w:b w:val="0"/>
          <w:bCs w:val="0"/>
          <w:kern w:val="2"/>
          <w:sz w:val="32"/>
          <w:szCs w:val="32"/>
          <w:lang w:val="en-US" w:eastAsia="zh-CN" w:bidi="ar-SA"/>
        </w:rPr>
        <w:t>对</w:t>
      </w:r>
      <w:r>
        <w:rPr>
          <w:rFonts w:hint="default" w:ascii="Times New Roman" w:hAnsi="Times New Roman" w:eastAsia="仿宋_GB2312" w:cs="Times New Roman"/>
          <w:kern w:val="2"/>
          <w:sz w:val="32"/>
          <w:szCs w:val="32"/>
          <w:lang w:val="en-US" w:eastAsia="zh-CN" w:bidi="ar-SA"/>
        </w:rPr>
        <w:t>结算上传的医保信息业务编码的真实性、准确性、规范性负责，认真做好本地系统编码与医保信息业务编码的匹配映射，确保实物产品与医保信息业务编码数据库中的代码信息完全一致，杜绝错码、乱码、串码现象。</w:t>
      </w:r>
    </w:p>
    <w:p w14:paraId="063268B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i w:val="0"/>
          <w:iCs w:val="0"/>
          <w:caps w:val="0"/>
          <w:color w:val="000000" w:themeColor="text1"/>
          <w:spacing w:val="0"/>
          <w:kern w:val="2"/>
          <w:sz w:val="32"/>
          <w:szCs w:val="32"/>
          <w:shd w:val="clear" w:fill="FFFFFF"/>
          <w:lang w:val="en-US" w:eastAsia="zh-CN" w:bidi="ar-SA"/>
          <w14:textFill>
            <w14:solidFill>
              <w14:schemeClr w14:val="tx1"/>
            </w14:solidFill>
          </w14:textFill>
        </w:rPr>
        <w:t>（四）</w:t>
      </w:r>
      <w:r>
        <w:rPr>
          <w:rFonts w:hint="default" w:ascii="楷体_GB2312" w:hAnsi="楷体_GB2312" w:eastAsia="楷体_GB2312" w:cs="楷体_GB2312"/>
          <w:i w:val="0"/>
          <w:iCs w:val="0"/>
          <w:caps w:val="0"/>
          <w:color w:val="000000" w:themeColor="text1"/>
          <w:spacing w:val="0"/>
          <w:kern w:val="2"/>
          <w:sz w:val="32"/>
          <w:szCs w:val="32"/>
          <w:shd w:val="clear" w:fill="FFFFFF"/>
          <w:lang w:val="en-US" w:eastAsia="zh-CN" w:bidi="ar-SA"/>
          <w14:textFill>
            <w14:solidFill>
              <w14:schemeClr w14:val="tx1"/>
            </w14:solidFill>
          </w14:textFill>
        </w:rPr>
        <w:t>加强医保基金监管</w:t>
      </w:r>
      <w:r>
        <w:rPr>
          <w:rFonts w:hint="eastAsia" w:ascii="楷体_GB2312" w:hAnsi="楷体_GB2312" w:eastAsia="楷体_GB2312" w:cs="楷体_GB2312"/>
          <w:i w:val="0"/>
          <w:iCs w:val="0"/>
          <w:caps w:val="0"/>
          <w:color w:val="000000" w:themeColor="text1"/>
          <w:spacing w:val="0"/>
          <w:kern w:val="2"/>
          <w:sz w:val="32"/>
          <w:szCs w:val="32"/>
          <w:shd w:val="clear" w:fill="FFFFFF"/>
          <w:lang w:val="en-US" w:eastAsia="zh-CN" w:bidi="ar-SA"/>
          <w14:textFill>
            <w14:solidFill>
              <w14:schemeClr w14:val="tx1"/>
            </w14:solidFill>
          </w14:textFill>
        </w:rPr>
        <w:t>。</w:t>
      </w:r>
      <w:r>
        <w:rPr>
          <w:rFonts w:hint="eastAsia" w:cs="Times New Roman"/>
          <w:b w:val="0"/>
          <w:bCs w:val="0"/>
          <w:kern w:val="2"/>
          <w:sz w:val="32"/>
          <w:szCs w:val="32"/>
          <w:lang w:val="en-US" w:eastAsia="zh-CN" w:bidi="ar-SA"/>
        </w:rPr>
        <w:t>各师市医保经办机构</w:t>
      </w:r>
      <w:r>
        <w:rPr>
          <w:rFonts w:hint="default" w:ascii="Times New Roman" w:hAnsi="Times New Roman" w:eastAsia="仿宋_GB2312" w:cs="Times New Roman"/>
          <w:kern w:val="2"/>
          <w:sz w:val="32"/>
          <w:szCs w:val="32"/>
          <w:lang w:val="en-US" w:eastAsia="zh-CN" w:bidi="ar-SA"/>
        </w:rPr>
        <w:t>要强化个人账户支付行为监督管理，综合运用现场检查、智能监控等方式，充分利用大数据比对、视频监</w:t>
      </w:r>
      <w:r>
        <w:rPr>
          <w:rFonts w:hint="eastAsia" w:ascii="Times New Roman" w:hAnsi="Times New Roman" w:eastAsia="仿宋_GB2312" w:cs="Times New Roman"/>
          <w:kern w:val="2"/>
          <w:sz w:val="32"/>
          <w:szCs w:val="32"/>
          <w:lang w:val="en-US" w:eastAsia="zh-CN" w:bidi="ar-SA"/>
        </w:rPr>
        <w:t>控等</w:t>
      </w:r>
      <w:r>
        <w:rPr>
          <w:rFonts w:hint="default" w:ascii="Times New Roman" w:hAnsi="Times New Roman" w:eastAsia="仿宋_GB2312" w:cs="Times New Roman"/>
          <w:kern w:val="2"/>
          <w:sz w:val="32"/>
          <w:szCs w:val="32"/>
          <w:lang w:val="en-US" w:eastAsia="zh-CN" w:bidi="ar-SA"/>
        </w:rPr>
        <w:t>技术手段，依法依规严厉查处</w:t>
      </w:r>
      <w:r>
        <w:rPr>
          <w:rFonts w:hint="eastAsia" w:cs="Times New Roman"/>
          <w:kern w:val="2"/>
          <w:sz w:val="32"/>
          <w:szCs w:val="32"/>
          <w:lang w:val="en-US" w:eastAsia="zh-CN" w:bidi="ar-SA"/>
        </w:rPr>
        <w:t>串换</w:t>
      </w:r>
      <w:r>
        <w:rPr>
          <w:rFonts w:hint="default" w:ascii="Times New Roman" w:hAnsi="Times New Roman" w:eastAsia="仿宋_GB2312" w:cs="Times New Roman"/>
          <w:kern w:val="2"/>
          <w:sz w:val="32"/>
          <w:szCs w:val="32"/>
          <w:lang w:val="en-US" w:eastAsia="zh-CN" w:bidi="ar-SA"/>
        </w:rPr>
        <w:t>、空刷套刷等违规使用个人账户行为。要畅通举报投诉渠道，落实举报奖励机制，充分发挥社会监督作用。对监管中发现的涉及其他部门职责的问题，要及时移送相关主管部门。要常态化组织开展自查自纠，指导定点零售药店主动纠正违规行为、退回医保基金。确保职工医保个人账户安全高效、合理使用。</w:t>
      </w:r>
    </w:p>
    <w:p w14:paraId="05B5B47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Times New Roman" w:hAnsi="Times New Roman" w:eastAsia="黑体"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黑体" w:cs="Times New Roman"/>
          <w:i w:val="0"/>
          <w:iCs w:val="0"/>
          <w:caps w:val="0"/>
          <w:color w:val="000000" w:themeColor="text1"/>
          <w:spacing w:val="0"/>
          <w:sz w:val="32"/>
          <w:szCs w:val="32"/>
          <w:shd w:val="clear" w:fill="FFFFFF"/>
          <w:lang w:val="en-US" w:eastAsia="zh-CN"/>
          <w14:textFill>
            <w14:solidFill>
              <w14:schemeClr w14:val="tx1"/>
            </w14:solidFill>
          </w14:textFill>
        </w:rPr>
        <w:t>三、工作要求</w:t>
      </w:r>
    </w:p>
    <w:p w14:paraId="4C05AE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各师市医保部门要充分认识加强个人账户使用监督管理的重要意义，切实提高政治站位，确保各项任务落到实处</w:t>
      </w:r>
      <w:r>
        <w:rPr>
          <w:rFonts w:hint="eastAsia" w:cs="Times New Roman"/>
          <w:lang w:val="en-US" w:eastAsia="zh-CN"/>
        </w:rPr>
        <w:t>，</w:t>
      </w:r>
      <w:r>
        <w:rPr>
          <w:rFonts w:hint="eastAsia" w:ascii="Times New Roman" w:hAnsi="Times New Roman" w:cs="Times New Roman"/>
          <w:lang w:val="en-US" w:eastAsia="zh-CN"/>
        </w:rPr>
        <w:t>层层压实工作责任，按时完成协议签订</w:t>
      </w:r>
      <w:r>
        <w:rPr>
          <w:rFonts w:hint="eastAsia" w:cs="Times New Roman"/>
          <w:lang w:val="en-US" w:eastAsia="zh-CN"/>
        </w:rPr>
        <w:t>工作</w:t>
      </w:r>
      <w:r>
        <w:rPr>
          <w:rFonts w:hint="eastAsia" w:ascii="Times New Roman" w:hAnsi="Times New Roman" w:cs="Times New Roman"/>
          <w:lang w:val="en-US" w:eastAsia="zh-CN"/>
        </w:rPr>
        <w:t>。要主动加强与财政、卫生健康、市场监管等部门的沟通协调，凝聚多方力量、形成监管合力。要做好政策宣传和解读工作，</w:t>
      </w:r>
      <w:r>
        <w:rPr>
          <w:rFonts w:hint="default" w:ascii="Times New Roman" w:hAnsi="Times New Roman" w:eastAsia="仿宋_GB2312" w:cs="Times New Roman"/>
          <w:kern w:val="2"/>
          <w:sz w:val="32"/>
          <w:szCs w:val="32"/>
          <w:lang w:val="en-US" w:eastAsia="zh-CN" w:bidi="ar-SA"/>
        </w:rPr>
        <w:t>提升医保系统及零售药店工作人员政策把握能力</w:t>
      </w:r>
      <w:r>
        <w:rPr>
          <w:rFonts w:hint="eastAsia" w:cs="Times New Roman"/>
          <w:kern w:val="2"/>
          <w:sz w:val="32"/>
          <w:szCs w:val="32"/>
          <w:lang w:val="en-US" w:eastAsia="zh-CN" w:bidi="ar-SA"/>
        </w:rPr>
        <w:t>，</w:t>
      </w:r>
      <w:r>
        <w:rPr>
          <w:rFonts w:hint="eastAsia" w:ascii="Times New Roman" w:hAnsi="Times New Roman" w:cs="Times New Roman"/>
          <w:lang w:val="en-US" w:eastAsia="zh-CN"/>
        </w:rPr>
        <w:t>引导定点零售药店规范经营、参保人员合理使用个人账户，为监管工作有序开展营造良好氛围。在实施过程中遇到重大问题，要及时向兵团医疗保障局报告。</w:t>
      </w:r>
    </w:p>
    <w:p w14:paraId="6087BD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本通知自2027年1月1日起施行。此前兵团有关职工医保个人账户在定点零售药店支付范围的规定与本通知不一致的，以本通知为准。</w:t>
      </w:r>
    </w:p>
    <w:p w14:paraId="7EFE831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微软雅黑" w:cs="Times New Roman"/>
          <w:i w:val="0"/>
          <w:iCs w:val="0"/>
          <w:caps w:val="0"/>
          <w:color w:val="000000" w:themeColor="text1"/>
          <w:spacing w:val="0"/>
          <w:sz w:val="32"/>
          <w:szCs w:val="32"/>
          <w14:textFill>
            <w14:solidFill>
              <w14:schemeClr w14:val="tx1"/>
            </w14:solidFill>
          </w14:textFill>
        </w:rPr>
      </w:pPr>
    </w:p>
    <w:p w14:paraId="5BAC76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s="Times New Roman"/>
          <w:lang w:val="en-US" w:eastAsia="zh-CN"/>
        </w:rPr>
      </w:pPr>
      <w:r>
        <w:rPr>
          <w:rFonts w:hint="default" w:ascii="Times New Roman" w:hAnsi="Times New Roman" w:eastAsia="仿宋_GB2312" w:cs="Times New Roman"/>
          <w:kern w:val="2"/>
          <w:sz w:val="32"/>
          <w:szCs w:val="32"/>
          <w:lang w:val="en-US" w:eastAsia="zh-CN" w:bidi="ar-SA"/>
        </w:rPr>
        <w:t>附件</w:t>
      </w:r>
      <w:r>
        <w:rPr>
          <w:rFonts w:hint="eastAsia" w:cs="Times New Roman"/>
          <w:kern w:val="2"/>
          <w:sz w:val="32"/>
          <w:szCs w:val="32"/>
          <w:lang w:val="en-US" w:eastAsia="zh-CN" w:bidi="ar-SA"/>
        </w:rPr>
        <w:t>：1.兵团</w:t>
      </w:r>
      <w:r>
        <w:rPr>
          <w:rFonts w:hint="default" w:ascii="Times New Roman" w:hAnsi="Times New Roman" w:cs="Times New Roman"/>
        </w:rPr>
        <w:t>定点零售药店职工医保个人账户支付</w:t>
      </w:r>
      <w:r>
        <w:rPr>
          <w:rFonts w:hint="eastAsia" w:cs="Times New Roman"/>
          <w:lang w:val="en-US" w:eastAsia="zh-CN"/>
        </w:rPr>
        <w:t>白名单</w:t>
      </w:r>
    </w:p>
    <w:p w14:paraId="3F16930E">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cs="Times New Roman"/>
          <w:lang w:val="en-US" w:eastAsia="zh-CN"/>
        </w:rPr>
      </w:pPr>
      <w:r>
        <w:rPr>
          <w:rFonts w:hint="eastAsia" w:cs="Times New Roman"/>
          <w:lang w:val="en-US" w:eastAsia="zh-CN"/>
        </w:rPr>
        <w:t>2.</w:t>
      </w:r>
      <w:r>
        <w:rPr>
          <w:rFonts w:hint="eastAsia" w:cs="Times New Roman"/>
          <w:spacing w:val="-6"/>
          <w:kern w:val="2"/>
          <w:sz w:val="32"/>
          <w:szCs w:val="32"/>
          <w:lang w:val="en-US" w:eastAsia="zh-CN" w:bidi="ar-SA"/>
        </w:rPr>
        <w:t>兵团</w:t>
      </w:r>
      <w:r>
        <w:rPr>
          <w:rFonts w:hint="default" w:cs="Times New Roman"/>
          <w:spacing w:val="-6"/>
          <w:kern w:val="2"/>
          <w:sz w:val="32"/>
          <w:szCs w:val="32"/>
          <w:lang w:val="en-US" w:eastAsia="zh-CN" w:bidi="ar-SA"/>
        </w:rPr>
        <w:t>定点零售药店职工医保个人账户支付</w:t>
      </w:r>
      <w:r>
        <w:rPr>
          <w:rFonts w:hint="eastAsia" w:cs="Times New Roman"/>
          <w:spacing w:val="-6"/>
          <w:kern w:val="2"/>
          <w:sz w:val="32"/>
          <w:szCs w:val="32"/>
          <w:lang w:val="en-US" w:eastAsia="zh-CN" w:bidi="ar-SA"/>
        </w:rPr>
        <w:t>负面清单</w:t>
      </w:r>
    </w:p>
    <w:p w14:paraId="79737E13">
      <w:pPr>
        <w:keepNext w:val="0"/>
        <w:keepLines w:val="0"/>
        <w:pageBreakBefore w:val="0"/>
        <w:widowControl w:val="0"/>
        <w:kinsoku/>
        <w:overflowPunct/>
        <w:topLinePunct w:val="0"/>
        <w:autoSpaceDE/>
        <w:autoSpaceDN/>
        <w:bidi w:val="0"/>
        <w:adjustRightInd/>
        <w:snapToGrid/>
        <w:rPr>
          <w:rFonts w:hint="default" w:ascii="Times New Roman" w:hAnsi="Times New Roman" w:cs="Times New Roman"/>
        </w:rPr>
      </w:pPr>
    </w:p>
    <w:p w14:paraId="1B915273">
      <w:pPr>
        <w:keepNext w:val="0"/>
        <w:keepLines w:val="0"/>
        <w:pageBreakBefore w:val="0"/>
        <w:widowControl w:val="0"/>
        <w:kinsoku/>
        <w:overflowPunct/>
        <w:topLinePunct w:val="0"/>
        <w:autoSpaceDE/>
        <w:autoSpaceDN/>
        <w:bidi w:val="0"/>
        <w:adjustRightInd/>
        <w:snapToGrid/>
        <w:rPr>
          <w:rFonts w:hint="default" w:ascii="Times New Roman" w:hAnsi="Times New Roman" w:cs="Times New Roman"/>
        </w:rPr>
      </w:pPr>
    </w:p>
    <w:p w14:paraId="032DF87A">
      <w:pPr>
        <w:keepNext w:val="0"/>
        <w:keepLines w:val="0"/>
        <w:pageBreakBefore w:val="0"/>
        <w:widowControl w:val="0"/>
        <w:kinsoku/>
        <w:wordWrap w:val="0"/>
        <w:overflowPunct/>
        <w:topLinePunct w:val="0"/>
        <w:autoSpaceDE/>
        <w:autoSpaceDN/>
        <w:bidi w:val="0"/>
        <w:adjustRightInd/>
        <w:snapToGrid/>
        <w:jc w:val="right"/>
        <w:rPr>
          <w:rFonts w:hint="eastAsia" w:cs="Times New Roman"/>
          <w:lang w:val="en-US" w:eastAsia="zh-CN"/>
        </w:rPr>
      </w:pPr>
      <w:r>
        <w:rPr>
          <w:rFonts w:hint="eastAsia" w:cs="Times New Roman"/>
          <w:lang w:val="en-US" w:eastAsia="zh-CN"/>
        </w:rPr>
        <w:t xml:space="preserve">兵团财政局                兵团医疗保障局        </w:t>
      </w:r>
    </w:p>
    <w:p w14:paraId="218BFB08">
      <w:pPr>
        <w:keepNext w:val="0"/>
        <w:keepLines w:val="0"/>
        <w:pageBreakBefore w:val="0"/>
        <w:widowControl w:val="0"/>
        <w:kinsoku/>
        <w:wordWrap w:val="0"/>
        <w:overflowPunct/>
        <w:topLinePunct w:val="0"/>
        <w:autoSpaceDE/>
        <w:autoSpaceDN/>
        <w:bidi w:val="0"/>
        <w:adjustRightInd/>
        <w:snapToGrid/>
        <w:jc w:val="right"/>
        <w:rPr>
          <w:rFonts w:hint="default" w:cs="Times New Roman"/>
          <w:lang w:val="en-US" w:eastAsia="zh-CN"/>
        </w:rPr>
      </w:pPr>
      <w:r>
        <w:rPr>
          <w:rFonts w:hint="eastAsia" w:cs="Times New Roman"/>
          <w:lang w:val="en-US" w:eastAsia="zh-CN"/>
        </w:rPr>
        <w:t xml:space="preserve">2026年9月  日        </w:t>
      </w:r>
    </w:p>
    <w:p w14:paraId="0E000877">
      <w:pPr>
        <w:keepNext w:val="0"/>
        <w:keepLines w:val="0"/>
        <w:pageBreakBefore w:val="0"/>
        <w:widowControl w:val="0"/>
        <w:kinsoku/>
        <w:overflowPunct/>
        <w:topLinePunct w:val="0"/>
        <w:autoSpaceDE/>
        <w:autoSpaceDN/>
        <w:bidi w:val="0"/>
        <w:adjustRightInd/>
        <w:snapToGrid/>
        <w:rPr>
          <w:rFonts w:hint="default" w:ascii="Times New Roman" w:hAnsi="Times New Roman" w:cs="Times New Roman"/>
        </w:rPr>
      </w:pPr>
    </w:p>
    <w:p w14:paraId="291778FF">
      <w:pPr>
        <w:keepNext w:val="0"/>
        <w:keepLines w:val="0"/>
        <w:pageBreakBefore w:val="0"/>
        <w:widowControl w:val="0"/>
        <w:kinsoku/>
        <w:overflowPunct/>
        <w:topLinePunct w:val="0"/>
        <w:autoSpaceDE/>
        <w:autoSpaceDN/>
        <w:bidi w:val="0"/>
        <w:adjustRightInd/>
        <w:snapToGrid/>
        <w:rPr>
          <w:rFonts w:hint="default" w:ascii="Times New Roman" w:hAnsi="Times New Roman" w:cs="Times New Roman"/>
        </w:rPr>
      </w:pPr>
      <w:r>
        <w:rPr>
          <w:rFonts w:hint="default" w:ascii="Times New Roman" w:hAnsi="Times New Roman" w:cs="Times New Roman"/>
        </w:rPr>
        <w:br w:type="page"/>
      </w:r>
    </w:p>
    <w:p w14:paraId="291314FA">
      <w:pPr>
        <w:keepNext w:val="0"/>
        <w:keepLines w:val="0"/>
        <w:pageBreakBefore w:val="0"/>
        <w:widowControl w:val="0"/>
        <w:kinsoku/>
        <w:wordWrap/>
        <w:overflowPunct/>
        <w:topLinePunct w:val="0"/>
        <w:autoSpaceDE/>
        <w:autoSpaceDN/>
        <w:bidi w:val="0"/>
        <w:adjustRightInd/>
        <w:snapToGrid/>
        <w:spacing w:after="0" w:line="560" w:lineRule="exact"/>
        <w:rPr>
          <w:rFonts w:hint="eastAsia" w:ascii="Times New Roman" w:hAnsi="Times New Roman" w:eastAsia="方正黑体_GBK" w:cs="Times New Roman"/>
          <w:snapToGrid w:val="0"/>
          <w:spacing w:val="-6"/>
          <w:kern w:val="0"/>
          <w:position w:val="2"/>
          <w:sz w:val="32"/>
          <w:szCs w:val="32"/>
          <w:lang w:val="en-US" w:eastAsia="zh-CN"/>
          <w14:ligatures w14:val="none"/>
        </w:rPr>
      </w:pPr>
      <w:r>
        <w:rPr>
          <w:rFonts w:hint="default" w:ascii="Times New Roman" w:hAnsi="Times New Roman" w:eastAsia="方正黑体_GBK" w:cs="Times New Roman"/>
          <w:snapToGrid w:val="0"/>
          <w:spacing w:val="-6"/>
          <w:kern w:val="0"/>
          <w:position w:val="2"/>
          <w:sz w:val="32"/>
          <w:szCs w:val="32"/>
          <w14:ligatures w14:val="none"/>
        </w:rPr>
        <w:t>附件</w:t>
      </w:r>
      <w:r>
        <w:rPr>
          <w:rFonts w:hint="eastAsia" w:eastAsia="方正黑体_GBK" w:cs="Times New Roman"/>
          <w:snapToGrid w:val="0"/>
          <w:spacing w:val="-6"/>
          <w:kern w:val="0"/>
          <w:position w:val="2"/>
          <w:sz w:val="32"/>
          <w:szCs w:val="32"/>
          <w:lang w:val="en-US" w:eastAsia="zh-CN"/>
          <w14:ligatures w14:val="none"/>
        </w:rPr>
        <w:t>1</w:t>
      </w:r>
    </w:p>
    <w:p w14:paraId="767BB618">
      <w:pPr>
        <w:keepNext w:val="0"/>
        <w:keepLines w:val="0"/>
        <w:pageBreakBefore w:val="0"/>
        <w:widowControl w:val="0"/>
        <w:kinsoku/>
        <w:wordWrap/>
        <w:overflowPunct/>
        <w:topLinePunct w:val="0"/>
        <w:autoSpaceDE/>
        <w:autoSpaceDN/>
        <w:bidi w:val="0"/>
        <w:adjustRightInd/>
        <w:snapToGrid/>
        <w:spacing w:after="0" w:line="560" w:lineRule="exact"/>
        <w:rPr>
          <w:rFonts w:hint="default" w:ascii="Times New Roman" w:hAnsi="Times New Roman" w:eastAsia="方正黑体_GBK" w:cs="Times New Roman"/>
          <w:snapToGrid w:val="0"/>
          <w:spacing w:val="-6"/>
          <w:kern w:val="0"/>
          <w:position w:val="2"/>
          <w:sz w:val="32"/>
          <w:szCs w:val="32"/>
          <w14:ligatures w14:val="none"/>
        </w:rPr>
      </w:pPr>
    </w:p>
    <w:p w14:paraId="3958E72A">
      <w:pPr>
        <w:keepNext w:val="0"/>
        <w:keepLines w:val="0"/>
        <w:pageBreakBefore w:val="0"/>
        <w:widowControl w:val="0"/>
        <w:kinsoku/>
        <w:wordWrap/>
        <w:overflowPunct/>
        <w:topLinePunct w:val="0"/>
        <w:autoSpaceDE/>
        <w:autoSpaceDN/>
        <w:bidi w:val="0"/>
        <w:adjustRightInd/>
        <w:snapToGrid/>
        <w:spacing w:line="560" w:lineRule="exact"/>
        <w:jc w:val="center"/>
        <w:rPr>
          <w:rFonts w:hint="eastAsia" w:eastAsia="方正小标宋简体" w:cs="Times New Roman"/>
          <w:b w:val="0"/>
          <w:bCs w:val="0"/>
          <w:color w:val="000000"/>
          <w:kern w:val="0"/>
          <w:sz w:val="44"/>
          <w:szCs w:val="44"/>
          <w:lang w:val="en-US" w:eastAsia="zh-CN" w:bidi="ar"/>
          <w14:ligatures w14:val="none"/>
        </w:rPr>
      </w:pPr>
      <w:r>
        <w:rPr>
          <w:rFonts w:hint="eastAsia" w:eastAsia="方正小标宋简体" w:cs="Times New Roman"/>
          <w:b w:val="0"/>
          <w:bCs w:val="0"/>
          <w:color w:val="000000"/>
          <w:kern w:val="0"/>
          <w:sz w:val="44"/>
          <w:szCs w:val="44"/>
          <w:lang w:val="en-US" w:eastAsia="zh-CN" w:bidi="ar"/>
          <w14:ligatures w14:val="none"/>
        </w:rPr>
        <w:t>兵团定点零售药店职工医保个人账户</w:t>
      </w:r>
    </w:p>
    <w:p w14:paraId="585F66EC">
      <w:pPr>
        <w:keepNext w:val="0"/>
        <w:keepLines w:val="0"/>
        <w:pageBreakBefore w:val="0"/>
        <w:widowControl w:val="0"/>
        <w:kinsoku/>
        <w:wordWrap/>
        <w:overflowPunct/>
        <w:topLinePunct w:val="0"/>
        <w:autoSpaceDE/>
        <w:autoSpaceDN/>
        <w:bidi w:val="0"/>
        <w:adjustRightInd/>
        <w:snapToGrid/>
        <w:spacing w:line="560" w:lineRule="exact"/>
        <w:jc w:val="center"/>
        <w:rPr>
          <w:rFonts w:hint="eastAsia" w:eastAsia="方正小标宋简体" w:cs="Times New Roman"/>
          <w:b w:val="0"/>
          <w:bCs w:val="0"/>
          <w:color w:val="000000"/>
          <w:kern w:val="0"/>
          <w:sz w:val="44"/>
          <w:szCs w:val="44"/>
          <w:lang w:val="en-US" w:eastAsia="zh-CN" w:bidi="ar"/>
          <w14:ligatures w14:val="none"/>
        </w:rPr>
      </w:pPr>
      <w:r>
        <w:rPr>
          <w:rFonts w:hint="eastAsia" w:eastAsia="方正小标宋简体" w:cs="Times New Roman"/>
          <w:b w:val="0"/>
          <w:bCs w:val="0"/>
          <w:color w:val="000000"/>
          <w:kern w:val="0"/>
          <w:sz w:val="44"/>
          <w:szCs w:val="44"/>
          <w:lang w:val="en-US" w:eastAsia="zh-CN" w:bidi="ar"/>
          <w14:ligatures w14:val="none"/>
        </w:rPr>
        <w:t>支付白名单</w:t>
      </w:r>
    </w:p>
    <w:p w14:paraId="17AA926B">
      <w:pPr>
        <w:keepNext w:val="0"/>
        <w:keepLines w:val="0"/>
        <w:pageBreakBefore w:val="0"/>
        <w:widowControl w:val="0"/>
        <w:kinsoku/>
        <w:wordWrap/>
        <w:overflowPunct/>
        <w:topLinePunct w:val="0"/>
        <w:autoSpaceDE/>
        <w:autoSpaceDN/>
        <w:bidi w:val="0"/>
        <w:adjustRightInd/>
        <w:snapToGrid/>
        <w:spacing w:line="560" w:lineRule="exact"/>
        <w:jc w:val="center"/>
        <w:rPr>
          <w:rFonts w:hint="default" w:eastAsia="方正小标宋简体" w:cs="Times New Roman"/>
          <w:b w:val="0"/>
          <w:bCs w:val="0"/>
          <w:color w:val="000000"/>
          <w:kern w:val="0"/>
          <w:sz w:val="44"/>
          <w:szCs w:val="44"/>
          <w:lang w:val="en-US" w:eastAsia="zh-CN" w:bidi="ar"/>
          <w14:ligatures w14:val="non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899"/>
        <w:gridCol w:w="3101"/>
        <w:gridCol w:w="4007"/>
      </w:tblGrid>
      <w:tr w14:paraId="5935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7" w:type="dxa"/>
            <w:vAlign w:val="center"/>
          </w:tcPr>
          <w:p w14:paraId="0908D05C">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_GB2312" w:cs="Times New Roman"/>
                <w:b w:val="0"/>
                <w:sz w:val="28"/>
                <w:szCs w:val="28"/>
              </w:rPr>
            </w:pPr>
            <w:r>
              <w:rPr>
                <w:rFonts w:hint="eastAsia" w:ascii="黑体" w:hAnsi="黑体" w:eastAsia="黑体" w:cs="黑体"/>
                <w:b w:val="0"/>
                <w:sz w:val="28"/>
                <w:szCs w:val="28"/>
              </w:rPr>
              <w:t>序号</w:t>
            </w:r>
          </w:p>
        </w:tc>
        <w:tc>
          <w:tcPr>
            <w:tcW w:w="899" w:type="dxa"/>
            <w:vAlign w:val="center"/>
          </w:tcPr>
          <w:p w14:paraId="7B95CEF3">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_GB2312" w:cs="Times New Roman"/>
                <w:b w:val="0"/>
                <w:sz w:val="28"/>
                <w:szCs w:val="28"/>
              </w:rPr>
            </w:pPr>
            <w:r>
              <w:rPr>
                <w:rFonts w:hint="eastAsia" w:ascii="黑体" w:hAnsi="黑体" w:eastAsia="黑体" w:cs="黑体"/>
                <w:b w:val="0"/>
                <w:sz w:val="28"/>
                <w:szCs w:val="28"/>
              </w:rPr>
              <w:t>类别</w:t>
            </w:r>
          </w:p>
        </w:tc>
        <w:tc>
          <w:tcPr>
            <w:tcW w:w="3101" w:type="dxa"/>
            <w:vAlign w:val="center"/>
          </w:tcPr>
          <w:p w14:paraId="343CCF07">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_GB2312" w:cs="Times New Roman"/>
                <w:b w:val="0"/>
                <w:sz w:val="28"/>
                <w:szCs w:val="28"/>
              </w:rPr>
            </w:pPr>
            <w:r>
              <w:rPr>
                <w:rFonts w:hint="eastAsia" w:ascii="黑体" w:hAnsi="黑体" w:eastAsia="黑体" w:cs="黑体"/>
                <w:b w:val="0"/>
                <w:sz w:val="28"/>
                <w:szCs w:val="28"/>
                <w:lang w:val="en-US" w:eastAsia="zh-CN"/>
              </w:rPr>
              <w:t>品类范围</w:t>
            </w:r>
          </w:p>
        </w:tc>
        <w:tc>
          <w:tcPr>
            <w:tcW w:w="4007" w:type="dxa"/>
            <w:vAlign w:val="center"/>
          </w:tcPr>
          <w:p w14:paraId="593E4454">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_GB2312" w:cs="Times New Roman"/>
                <w:b w:val="0"/>
                <w:sz w:val="28"/>
                <w:szCs w:val="28"/>
              </w:rPr>
            </w:pPr>
            <w:r>
              <w:rPr>
                <w:rFonts w:hint="eastAsia" w:ascii="黑体" w:hAnsi="黑体" w:eastAsia="黑体" w:cs="黑体"/>
                <w:b w:val="0"/>
                <w:sz w:val="28"/>
                <w:szCs w:val="28"/>
              </w:rPr>
              <w:t>具体品类</w:t>
            </w:r>
          </w:p>
        </w:tc>
      </w:tr>
      <w:tr w14:paraId="0E39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1" w:hRule="atLeast"/>
          <w:jc w:val="center"/>
        </w:trPr>
        <w:tc>
          <w:tcPr>
            <w:tcW w:w="837" w:type="dxa"/>
            <w:vAlign w:val="center"/>
          </w:tcPr>
          <w:p w14:paraId="2183EE4D">
            <w:pPr>
              <w:keepNext w:val="0"/>
              <w:keepLines w:val="0"/>
              <w:pageBreakBefore w:val="0"/>
              <w:widowControl w:val="0"/>
              <w:kinsoku/>
              <w:wordWrap/>
              <w:overflowPunct/>
              <w:topLinePunct w:val="0"/>
              <w:autoSpaceDE/>
              <w:autoSpaceDN/>
              <w:bidi w:val="0"/>
              <w:adjustRightInd/>
              <w:snapToGrid/>
              <w:spacing w:before="0" w:after="0"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sz w:val="28"/>
                <w:szCs w:val="28"/>
              </w:rPr>
              <w:t>1</w:t>
            </w:r>
          </w:p>
        </w:tc>
        <w:tc>
          <w:tcPr>
            <w:tcW w:w="899" w:type="dxa"/>
            <w:vAlign w:val="center"/>
          </w:tcPr>
          <w:p w14:paraId="611560CB">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药品</w:t>
            </w:r>
          </w:p>
        </w:tc>
        <w:tc>
          <w:tcPr>
            <w:tcW w:w="3101" w:type="dxa"/>
            <w:vAlign w:val="center"/>
          </w:tcPr>
          <w:p w14:paraId="5981C2B6">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取得国药准字H（Z、S）、国药准字H（Z、S）C、国药准字H（Z、S）J、国药准字B、国药准字C批准文号的药品，以及中药饮片（含国家医保药品目录中规定不予支付、单味使用不予支付的中药饮片）。</w:t>
            </w:r>
          </w:p>
        </w:tc>
        <w:tc>
          <w:tcPr>
            <w:tcW w:w="4007" w:type="dxa"/>
            <w:vAlign w:val="center"/>
          </w:tcPr>
          <w:p w14:paraId="75324732">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化学药品、生物制品、保健药品、中成药、中药饮片，包括处方药和非处方药。</w:t>
            </w:r>
          </w:p>
        </w:tc>
      </w:tr>
      <w:tr w14:paraId="6131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2" w:hRule="atLeast"/>
          <w:jc w:val="center"/>
        </w:trPr>
        <w:tc>
          <w:tcPr>
            <w:tcW w:w="837" w:type="dxa"/>
            <w:vAlign w:val="center"/>
          </w:tcPr>
          <w:p w14:paraId="78CD04FF">
            <w:pPr>
              <w:keepNext w:val="0"/>
              <w:keepLines w:val="0"/>
              <w:pageBreakBefore w:val="0"/>
              <w:widowControl w:val="0"/>
              <w:kinsoku/>
              <w:wordWrap/>
              <w:overflowPunct/>
              <w:topLinePunct w:val="0"/>
              <w:autoSpaceDE/>
              <w:autoSpaceDN/>
              <w:bidi w:val="0"/>
              <w:adjustRightInd/>
              <w:snapToGrid/>
              <w:spacing w:before="0" w:after="0"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sz w:val="28"/>
                <w:szCs w:val="28"/>
              </w:rPr>
              <w:t>2</w:t>
            </w:r>
          </w:p>
        </w:tc>
        <w:tc>
          <w:tcPr>
            <w:tcW w:w="899" w:type="dxa"/>
            <w:vAlign w:val="center"/>
          </w:tcPr>
          <w:p w14:paraId="686B8C5F">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器械耗材</w:t>
            </w:r>
          </w:p>
        </w:tc>
        <w:tc>
          <w:tcPr>
            <w:tcW w:w="3101" w:type="dxa"/>
            <w:vAlign w:val="center"/>
          </w:tcPr>
          <w:p w14:paraId="505C7389">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与疾病治疗、临床护理、康复训练直接相关的第一类、第二类、第三类医疗器械。</w:t>
            </w:r>
          </w:p>
        </w:tc>
        <w:tc>
          <w:tcPr>
            <w:tcW w:w="4007" w:type="dxa"/>
            <w:vAlign w:val="center"/>
          </w:tcPr>
          <w:p w14:paraId="7CD090BF">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1</w:t>
            </w:r>
            <w:r>
              <w:rPr>
                <w:rFonts w:hint="eastAsia" w:ascii="Times New Roman" w:hAnsi="Times New Roman" w:eastAsia="仿宋_GB2312" w:cs="Times New Roman"/>
                <w:b w:val="0"/>
                <w:sz w:val="28"/>
                <w:szCs w:val="28"/>
                <w:lang w:val="en-US" w:eastAsia="zh-CN"/>
              </w:rPr>
              <w:t>.</w:t>
            </w:r>
            <w:r>
              <w:rPr>
                <w:rFonts w:hint="default" w:ascii="Times New Roman" w:hAnsi="Times New Roman" w:eastAsia="仿宋_GB2312" w:cs="Times New Roman"/>
                <w:b w:val="0"/>
                <w:sz w:val="28"/>
                <w:szCs w:val="28"/>
              </w:rPr>
              <w:t>体温计、血压计、血氧仪、血糖仪、制氧机、雾化器等家用医疗器械。</w:t>
            </w:r>
          </w:p>
          <w:p w14:paraId="77EEC87B">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2</w:t>
            </w:r>
            <w:r>
              <w:rPr>
                <w:rFonts w:hint="eastAsia" w:ascii="Times New Roman" w:hAnsi="Times New Roman" w:eastAsia="仿宋_GB2312" w:cs="Times New Roman"/>
                <w:b w:val="0"/>
                <w:sz w:val="28"/>
                <w:szCs w:val="28"/>
                <w:lang w:val="en-US" w:eastAsia="zh-CN"/>
              </w:rPr>
              <w:t>.</w:t>
            </w:r>
            <w:r>
              <w:rPr>
                <w:rFonts w:hint="default" w:ascii="Times New Roman" w:hAnsi="Times New Roman" w:eastAsia="仿宋_GB2312" w:cs="Times New Roman"/>
                <w:b w:val="0"/>
                <w:sz w:val="28"/>
                <w:szCs w:val="28"/>
              </w:rPr>
              <w:t>医用口罩、棉签（棉球）、纱布绷带、创可贴、退热贴，以及一次性末梢采血针、笔式注射器及针头、碘伏帽、导尿管、造口袋、褥疮防治垫、听诊器等医用耗材。</w:t>
            </w:r>
          </w:p>
          <w:p w14:paraId="0DDE3A92">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3</w:t>
            </w:r>
            <w:r>
              <w:rPr>
                <w:rFonts w:hint="eastAsia" w:ascii="Times New Roman" w:hAnsi="Times New Roman" w:eastAsia="仿宋_GB2312" w:cs="Times New Roman"/>
                <w:b w:val="0"/>
                <w:sz w:val="28"/>
                <w:szCs w:val="28"/>
                <w:lang w:val="en-US" w:eastAsia="zh-CN"/>
              </w:rPr>
              <w:t>.</w:t>
            </w:r>
            <w:r>
              <w:rPr>
                <w:rFonts w:hint="default" w:ascii="Times New Roman" w:hAnsi="Times New Roman" w:eastAsia="仿宋_GB2312" w:cs="Times New Roman"/>
                <w:b w:val="0"/>
                <w:sz w:val="28"/>
                <w:szCs w:val="28"/>
              </w:rPr>
              <w:t>助行器、轮椅、脑机接口医疗器械等康复辅助器具，以及按医疗器械注册的医用动力外骨骼机器人等。</w:t>
            </w:r>
          </w:p>
          <w:p w14:paraId="04BB5E48">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4</w:t>
            </w:r>
            <w:r>
              <w:rPr>
                <w:rFonts w:hint="eastAsia" w:ascii="Times New Roman" w:hAnsi="Times New Roman" w:eastAsia="仿宋_GB2312" w:cs="Times New Roman"/>
                <w:b w:val="0"/>
                <w:sz w:val="28"/>
                <w:szCs w:val="28"/>
                <w:lang w:val="en-US" w:eastAsia="zh-CN"/>
              </w:rPr>
              <w:t>.</w:t>
            </w:r>
            <w:r>
              <w:rPr>
                <w:rFonts w:hint="default" w:ascii="Times New Roman" w:hAnsi="Times New Roman" w:eastAsia="仿宋_GB2312" w:cs="Times New Roman"/>
                <w:b w:val="0"/>
                <w:sz w:val="28"/>
                <w:szCs w:val="28"/>
              </w:rPr>
              <w:t>计划生育保健用品。</w:t>
            </w:r>
          </w:p>
        </w:tc>
      </w:tr>
      <w:tr w14:paraId="34C1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7" w:type="dxa"/>
            <w:shd w:val="clear" w:color="auto" w:fill="auto"/>
            <w:vAlign w:val="center"/>
          </w:tcPr>
          <w:p w14:paraId="6F1E568A">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_GB2312" w:cs="Times New Roman"/>
                <w:b w:val="0"/>
                <w:sz w:val="28"/>
                <w:szCs w:val="28"/>
                <w:lang w:val="en-US" w:eastAsia="en-US" w:bidi="ar-SA"/>
              </w:rPr>
            </w:pPr>
            <w:r>
              <w:rPr>
                <w:rFonts w:hint="eastAsia" w:ascii="黑体" w:hAnsi="黑体" w:eastAsia="黑体" w:cs="黑体"/>
                <w:b w:val="0"/>
                <w:sz w:val="28"/>
                <w:szCs w:val="28"/>
              </w:rPr>
              <w:t>序号</w:t>
            </w:r>
          </w:p>
        </w:tc>
        <w:tc>
          <w:tcPr>
            <w:tcW w:w="899" w:type="dxa"/>
            <w:shd w:val="clear" w:color="auto" w:fill="auto"/>
            <w:vAlign w:val="center"/>
          </w:tcPr>
          <w:p w14:paraId="6B24A4A0">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_GB2312" w:cs="Times New Roman"/>
                <w:b w:val="0"/>
                <w:sz w:val="28"/>
                <w:szCs w:val="28"/>
                <w:lang w:val="en-US" w:eastAsia="en-US" w:bidi="ar-SA"/>
              </w:rPr>
            </w:pPr>
            <w:r>
              <w:rPr>
                <w:rFonts w:hint="eastAsia" w:ascii="黑体" w:hAnsi="黑体" w:eastAsia="黑体" w:cs="黑体"/>
                <w:b w:val="0"/>
                <w:sz w:val="28"/>
                <w:szCs w:val="28"/>
              </w:rPr>
              <w:t>类别</w:t>
            </w:r>
          </w:p>
        </w:tc>
        <w:tc>
          <w:tcPr>
            <w:tcW w:w="3101" w:type="dxa"/>
            <w:shd w:val="clear" w:color="auto" w:fill="auto"/>
            <w:vAlign w:val="center"/>
          </w:tcPr>
          <w:p w14:paraId="1854848D">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_GB2312" w:cs="Times New Roman"/>
                <w:b w:val="0"/>
                <w:sz w:val="28"/>
                <w:szCs w:val="28"/>
                <w:lang w:val="en-US" w:eastAsia="en-US" w:bidi="ar-SA"/>
              </w:rPr>
            </w:pPr>
            <w:r>
              <w:rPr>
                <w:rFonts w:hint="eastAsia" w:ascii="黑体" w:hAnsi="黑体" w:eastAsia="黑体" w:cs="黑体"/>
                <w:b w:val="0"/>
                <w:sz w:val="28"/>
                <w:szCs w:val="28"/>
                <w:lang w:val="en-US" w:eastAsia="zh-CN"/>
              </w:rPr>
              <w:t>品类范围</w:t>
            </w:r>
          </w:p>
        </w:tc>
        <w:tc>
          <w:tcPr>
            <w:tcW w:w="4007" w:type="dxa"/>
            <w:shd w:val="clear" w:color="auto" w:fill="auto"/>
            <w:vAlign w:val="center"/>
          </w:tcPr>
          <w:p w14:paraId="315237E2">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_GB2312" w:cs="Times New Roman"/>
                <w:b w:val="0"/>
                <w:sz w:val="28"/>
                <w:szCs w:val="28"/>
                <w:lang w:val="en-US" w:eastAsia="en-US" w:bidi="ar-SA"/>
              </w:rPr>
            </w:pPr>
            <w:r>
              <w:rPr>
                <w:rFonts w:hint="eastAsia" w:ascii="黑体" w:hAnsi="黑体" w:eastAsia="黑体" w:cs="黑体"/>
                <w:b w:val="0"/>
                <w:sz w:val="28"/>
                <w:szCs w:val="28"/>
              </w:rPr>
              <w:t>具体品类</w:t>
            </w:r>
          </w:p>
        </w:tc>
      </w:tr>
      <w:tr w14:paraId="75FB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4" w:hRule="atLeast"/>
          <w:jc w:val="center"/>
        </w:trPr>
        <w:tc>
          <w:tcPr>
            <w:tcW w:w="837" w:type="dxa"/>
            <w:vAlign w:val="center"/>
          </w:tcPr>
          <w:p w14:paraId="11A84057">
            <w:pPr>
              <w:keepNext w:val="0"/>
              <w:keepLines w:val="0"/>
              <w:pageBreakBefore w:val="0"/>
              <w:widowControl w:val="0"/>
              <w:kinsoku/>
              <w:wordWrap/>
              <w:overflowPunct/>
              <w:topLinePunct w:val="0"/>
              <w:autoSpaceDE/>
              <w:autoSpaceDN/>
              <w:bidi w:val="0"/>
              <w:adjustRightInd/>
              <w:snapToGrid/>
              <w:spacing w:before="0" w:after="0"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sz w:val="28"/>
                <w:szCs w:val="28"/>
              </w:rPr>
              <w:t>3</w:t>
            </w:r>
          </w:p>
        </w:tc>
        <w:tc>
          <w:tcPr>
            <w:tcW w:w="899" w:type="dxa"/>
            <w:vAlign w:val="center"/>
          </w:tcPr>
          <w:p w14:paraId="70D1579B">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体外诊断试剂</w:t>
            </w:r>
          </w:p>
        </w:tc>
        <w:tc>
          <w:tcPr>
            <w:tcW w:w="3101" w:type="dxa"/>
            <w:vAlign w:val="center"/>
          </w:tcPr>
          <w:p w14:paraId="1B8AEB27">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按医疗器械管理的体外诊断试剂，即在疾病预测、预防、诊断、治疗监测、预后评估和健康状态评价过程中，用于人体样本体外检测的试剂、试剂盒、校准品、质控品等；以及按药品管理的血源筛查体外诊断试剂、放射性核素标记体外诊断试剂等。</w:t>
            </w:r>
          </w:p>
        </w:tc>
        <w:tc>
          <w:tcPr>
            <w:tcW w:w="4007" w:type="dxa"/>
            <w:vAlign w:val="center"/>
          </w:tcPr>
          <w:p w14:paraId="4CA3CACF">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新型冠状病毒/流感抗原检测试剂等病原体检测试剂、血糖试纸、尿酸试纸、早孕试纸、排卵检测试纸等。</w:t>
            </w:r>
          </w:p>
        </w:tc>
      </w:tr>
      <w:tr w14:paraId="30B6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jc w:val="center"/>
        </w:trPr>
        <w:tc>
          <w:tcPr>
            <w:tcW w:w="837" w:type="dxa"/>
            <w:vAlign w:val="center"/>
          </w:tcPr>
          <w:p w14:paraId="1C44777E">
            <w:pPr>
              <w:keepNext w:val="0"/>
              <w:keepLines w:val="0"/>
              <w:pageBreakBefore w:val="0"/>
              <w:widowControl w:val="0"/>
              <w:kinsoku/>
              <w:wordWrap/>
              <w:overflowPunct/>
              <w:topLinePunct w:val="0"/>
              <w:autoSpaceDE/>
              <w:autoSpaceDN/>
              <w:bidi w:val="0"/>
              <w:adjustRightInd/>
              <w:snapToGrid/>
              <w:spacing w:before="0" w:after="0"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sz w:val="28"/>
                <w:szCs w:val="28"/>
              </w:rPr>
              <w:t>4</w:t>
            </w:r>
          </w:p>
        </w:tc>
        <w:tc>
          <w:tcPr>
            <w:tcW w:w="899" w:type="dxa"/>
            <w:vAlign w:val="center"/>
          </w:tcPr>
          <w:p w14:paraId="6DC215DB">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消毒产品</w:t>
            </w:r>
          </w:p>
        </w:tc>
        <w:tc>
          <w:tcPr>
            <w:tcW w:w="3101" w:type="dxa"/>
            <w:vAlign w:val="center"/>
          </w:tcPr>
          <w:p w14:paraId="0B147265">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取得消毒产品卫生许可批件。</w:t>
            </w:r>
          </w:p>
        </w:tc>
        <w:tc>
          <w:tcPr>
            <w:tcW w:w="4007" w:type="dxa"/>
            <w:vAlign w:val="center"/>
          </w:tcPr>
          <w:p w14:paraId="23241723">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医用酒精、医用碘伏、医用双氧水，以酒精、碘伏、双氧水为主要成分的医用消毒用品，以及医用棉签（棉球）、紫外线杀菌灯等。</w:t>
            </w:r>
          </w:p>
        </w:tc>
      </w:tr>
      <w:tr w14:paraId="473A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1" w:hRule="atLeast"/>
          <w:jc w:val="center"/>
        </w:trPr>
        <w:tc>
          <w:tcPr>
            <w:tcW w:w="837" w:type="dxa"/>
            <w:vAlign w:val="center"/>
          </w:tcPr>
          <w:p w14:paraId="34904AB2">
            <w:pPr>
              <w:keepNext w:val="0"/>
              <w:keepLines w:val="0"/>
              <w:pageBreakBefore w:val="0"/>
              <w:widowControl w:val="0"/>
              <w:kinsoku/>
              <w:wordWrap/>
              <w:overflowPunct/>
              <w:topLinePunct w:val="0"/>
              <w:autoSpaceDE/>
              <w:autoSpaceDN/>
              <w:bidi w:val="0"/>
              <w:adjustRightInd/>
              <w:snapToGrid/>
              <w:spacing w:before="0" w:after="0"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sz w:val="28"/>
                <w:szCs w:val="28"/>
              </w:rPr>
              <w:t>5</w:t>
            </w:r>
          </w:p>
        </w:tc>
        <w:tc>
          <w:tcPr>
            <w:tcW w:w="899" w:type="dxa"/>
            <w:vAlign w:val="center"/>
          </w:tcPr>
          <w:p w14:paraId="64BA2972">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特殊医学用途配方食品</w:t>
            </w:r>
          </w:p>
        </w:tc>
        <w:tc>
          <w:tcPr>
            <w:tcW w:w="3101" w:type="dxa"/>
            <w:vAlign w:val="center"/>
          </w:tcPr>
          <w:p w14:paraId="22836C4B">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经国家市场监督管理总局批准上市的特殊医学用途配方食品。</w:t>
            </w:r>
          </w:p>
        </w:tc>
        <w:tc>
          <w:tcPr>
            <w:tcW w:w="4007" w:type="dxa"/>
            <w:vAlign w:val="center"/>
          </w:tcPr>
          <w:p w14:paraId="694C0673">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全营养配方食品、特定全营养配方食品、非全营养配方食品等，如低苯丙氨酸/无苯丙氨酸米、低苯丙氨酸/无苯丙氨酸面条、低苯丙氨酸/无苯丙氨酸面条粉、低苯丙氨酸/无苯丙氨酸馒头粉等。</w:t>
            </w:r>
          </w:p>
        </w:tc>
      </w:tr>
    </w:tbl>
    <w:p w14:paraId="46217EE2">
      <w:pPr>
        <w:keepNext w:val="0"/>
        <w:keepLines w:val="0"/>
        <w:pageBreakBefore w:val="0"/>
        <w:widowControl w:val="0"/>
        <w:kinsoku/>
        <w:wordWrap/>
        <w:overflowPunct/>
        <w:topLinePunct w:val="0"/>
        <w:autoSpaceDE/>
        <w:autoSpaceDN/>
        <w:bidi w:val="0"/>
        <w:adjustRightInd/>
        <w:snapToGrid/>
        <w:spacing w:line="20" w:lineRule="exact"/>
        <w:textAlignment w:val="auto"/>
      </w:pPr>
      <w:r>
        <w:br w:type="page"/>
      </w:r>
    </w:p>
    <w:p w14:paraId="09CDD426">
      <w:pPr>
        <w:rPr>
          <w:rFonts w:hint="eastAsia" w:ascii="黑体" w:hAnsi="黑体" w:eastAsia="黑体" w:cs="黑体"/>
          <w:lang w:val="en-US" w:eastAsia="zh-CN"/>
        </w:rPr>
      </w:pPr>
      <w:r>
        <w:rPr>
          <w:rFonts w:hint="eastAsia" w:ascii="黑体" w:hAnsi="黑体" w:eastAsia="黑体" w:cs="黑体"/>
          <w:lang w:val="en-US" w:eastAsia="zh-CN"/>
        </w:rPr>
        <w:t>附件2</w:t>
      </w:r>
    </w:p>
    <w:p w14:paraId="54EB3EFB"/>
    <w:p w14:paraId="665A5FCD">
      <w:pPr>
        <w:keepNext w:val="0"/>
        <w:keepLines w:val="0"/>
        <w:pageBreakBefore w:val="0"/>
        <w:widowControl w:val="0"/>
        <w:kinsoku/>
        <w:wordWrap/>
        <w:overflowPunct/>
        <w:topLinePunct w:val="0"/>
        <w:autoSpaceDE/>
        <w:autoSpaceDN/>
        <w:bidi w:val="0"/>
        <w:adjustRightInd/>
        <w:snapToGrid/>
        <w:spacing w:line="560" w:lineRule="exact"/>
        <w:jc w:val="center"/>
        <w:rPr>
          <w:rFonts w:hint="default" w:eastAsia="方正小标宋简体" w:cs="Times New Roman"/>
          <w:b w:val="0"/>
          <w:bCs w:val="0"/>
          <w:color w:val="000000"/>
          <w:kern w:val="0"/>
          <w:sz w:val="44"/>
          <w:szCs w:val="44"/>
          <w:lang w:val="en-US" w:eastAsia="zh-CN" w:bidi="ar"/>
          <w14:ligatures w14:val="none"/>
        </w:rPr>
      </w:pPr>
      <w:r>
        <w:rPr>
          <w:rFonts w:hint="eastAsia" w:eastAsia="方正小标宋简体" w:cs="Times New Roman"/>
          <w:b w:val="0"/>
          <w:bCs w:val="0"/>
          <w:color w:val="000000"/>
          <w:kern w:val="0"/>
          <w:sz w:val="44"/>
          <w:szCs w:val="44"/>
          <w:lang w:val="en-US" w:eastAsia="zh-CN" w:bidi="ar"/>
          <w14:ligatures w14:val="none"/>
        </w:rPr>
        <w:t>兵团</w:t>
      </w:r>
      <w:r>
        <w:rPr>
          <w:rFonts w:hint="default" w:eastAsia="方正小标宋简体" w:cs="Times New Roman"/>
          <w:b w:val="0"/>
          <w:bCs w:val="0"/>
          <w:color w:val="000000"/>
          <w:kern w:val="0"/>
          <w:sz w:val="44"/>
          <w:szCs w:val="44"/>
          <w:lang w:val="en-US" w:eastAsia="zh-CN" w:bidi="ar"/>
          <w14:ligatures w14:val="none"/>
        </w:rPr>
        <w:t>定点零售药店职工医保个人账户</w:t>
      </w:r>
    </w:p>
    <w:p w14:paraId="75DEF600">
      <w:pPr>
        <w:keepNext w:val="0"/>
        <w:keepLines w:val="0"/>
        <w:pageBreakBefore w:val="0"/>
        <w:widowControl w:val="0"/>
        <w:kinsoku/>
        <w:wordWrap/>
        <w:overflowPunct/>
        <w:topLinePunct w:val="0"/>
        <w:autoSpaceDE/>
        <w:autoSpaceDN/>
        <w:bidi w:val="0"/>
        <w:adjustRightInd/>
        <w:snapToGrid/>
        <w:spacing w:line="560" w:lineRule="exact"/>
        <w:jc w:val="center"/>
        <w:rPr>
          <w:rFonts w:hint="eastAsia" w:eastAsia="方正小标宋简体" w:cs="Times New Roman"/>
          <w:b w:val="0"/>
          <w:bCs w:val="0"/>
          <w:color w:val="000000"/>
          <w:kern w:val="0"/>
          <w:sz w:val="44"/>
          <w:szCs w:val="44"/>
          <w:lang w:val="en-US" w:eastAsia="zh-CN" w:bidi="ar"/>
          <w14:ligatures w14:val="none"/>
        </w:rPr>
      </w:pPr>
      <w:r>
        <w:rPr>
          <w:rFonts w:hint="default" w:eastAsia="方正小标宋简体" w:cs="Times New Roman"/>
          <w:b w:val="0"/>
          <w:bCs w:val="0"/>
          <w:color w:val="000000"/>
          <w:kern w:val="0"/>
          <w:sz w:val="44"/>
          <w:szCs w:val="44"/>
          <w:lang w:val="en-US" w:eastAsia="zh-CN" w:bidi="ar"/>
          <w14:ligatures w14:val="none"/>
        </w:rPr>
        <w:t>支付</w:t>
      </w:r>
      <w:r>
        <w:rPr>
          <w:rFonts w:hint="eastAsia" w:eastAsia="方正小标宋简体" w:cs="Times New Roman"/>
          <w:b w:val="0"/>
          <w:bCs w:val="0"/>
          <w:color w:val="000000"/>
          <w:kern w:val="0"/>
          <w:sz w:val="44"/>
          <w:szCs w:val="44"/>
          <w:lang w:val="en-US" w:eastAsia="zh-CN" w:bidi="ar"/>
          <w14:ligatures w14:val="none"/>
        </w:rPr>
        <w:t>负面清单</w:t>
      </w:r>
    </w:p>
    <w:p w14:paraId="79A280B1"/>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868"/>
        <w:gridCol w:w="7108"/>
      </w:tblGrid>
      <w:tr w14:paraId="0681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68" w:type="dxa"/>
            <w:vAlign w:val="center"/>
          </w:tcPr>
          <w:p w14:paraId="59400F7A">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黑体" w:hAnsi="黑体" w:eastAsia="黑体" w:cs="黑体"/>
                <w:b w:val="0"/>
                <w:sz w:val="28"/>
                <w:szCs w:val="28"/>
                <w:lang w:val="en-US" w:eastAsia="zh-CN"/>
              </w:rPr>
            </w:pPr>
            <w:r>
              <w:rPr>
                <w:rFonts w:hint="eastAsia" w:ascii="黑体" w:hAnsi="黑体" w:eastAsia="黑体" w:cs="黑体"/>
                <w:b w:val="0"/>
                <w:sz w:val="28"/>
                <w:szCs w:val="28"/>
                <w:lang w:val="en-US" w:eastAsia="zh-CN"/>
              </w:rPr>
              <w:t>序号</w:t>
            </w:r>
          </w:p>
        </w:tc>
        <w:tc>
          <w:tcPr>
            <w:tcW w:w="868" w:type="dxa"/>
            <w:vAlign w:val="center"/>
          </w:tcPr>
          <w:p w14:paraId="5AE8A748">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黑体" w:hAnsi="黑体" w:eastAsia="黑体" w:cs="黑体"/>
                <w:b w:val="0"/>
                <w:sz w:val="28"/>
                <w:szCs w:val="28"/>
                <w:lang w:val="en-US" w:eastAsia="zh-CN"/>
              </w:rPr>
            </w:pPr>
            <w:r>
              <w:rPr>
                <w:rFonts w:hint="eastAsia" w:ascii="黑体" w:hAnsi="黑体" w:eastAsia="黑体" w:cs="黑体"/>
                <w:b w:val="0"/>
                <w:sz w:val="28"/>
                <w:szCs w:val="28"/>
              </w:rPr>
              <w:t>类别</w:t>
            </w:r>
          </w:p>
        </w:tc>
        <w:tc>
          <w:tcPr>
            <w:tcW w:w="7108" w:type="dxa"/>
            <w:vAlign w:val="center"/>
          </w:tcPr>
          <w:p w14:paraId="4D3365F3">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黑体" w:hAnsi="黑体" w:eastAsia="黑体" w:cs="黑体"/>
                <w:b w:val="0"/>
                <w:sz w:val="28"/>
                <w:szCs w:val="28"/>
                <w:lang w:val="en-US" w:eastAsia="zh-CN"/>
              </w:rPr>
            </w:pPr>
            <w:r>
              <w:rPr>
                <w:rFonts w:hint="eastAsia" w:ascii="黑体" w:hAnsi="黑体" w:eastAsia="黑体" w:cs="黑体"/>
                <w:b w:val="0"/>
                <w:sz w:val="28"/>
                <w:szCs w:val="28"/>
                <w:lang w:val="en-US" w:eastAsia="zh-CN"/>
              </w:rPr>
              <w:t>品类范围</w:t>
            </w:r>
          </w:p>
        </w:tc>
      </w:tr>
      <w:tr w14:paraId="4C36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868" w:type="dxa"/>
            <w:vAlign w:val="center"/>
          </w:tcPr>
          <w:p w14:paraId="28A651A5">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lang w:val="en-US" w:eastAsia="zh-CN"/>
              </w:rPr>
            </w:pPr>
            <w:r>
              <w:rPr>
                <w:rFonts w:hint="eastAsia" w:ascii="Times New Roman" w:hAnsi="Times New Roman" w:eastAsia="仿宋_GB2312" w:cs="Times New Roman"/>
                <w:b w:val="0"/>
                <w:sz w:val="28"/>
                <w:szCs w:val="28"/>
                <w:lang w:val="en-US" w:eastAsia="zh-CN"/>
              </w:rPr>
              <w:t>1</w:t>
            </w:r>
          </w:p>
        </w:tc>
        <w:tc>
          <w:tcPr>
            <w:tcW w:w="868" w:type="dxa"/>
            <w:vAlign w:val="center"/>
          </w:tcPr>
          <w:p w14:paraId="0B6D66B9">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保健食品</w:t>
            </w:r>
          </w:p>
        </w:tc>
        <w:tc>
          <w:tcPr>
            <w:tcW w:w="7108" w:type="dxa"/>
            <w:shd w:val="clear" w:color="auto" w:fill="auto"/>
            <w:vAlign w:val="center"/>
          </w:tcPr>
          <w:p w14:paraId="4F0D94D3">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eastAsia" w:ascii="Times New Roman" w:hAnsi="Times New Roman" w:eastAsia="仿宋_GB2312" w:cs="Times New Roman"/>
                <w:b w:val="0"/>
                <w:sz w:val="28"/>
                <w:szCs w:val="28"/>
                <w:lang w:val="en-US" w:eastAsia="zh-CN"/>
              </w:rPr>
            </w:pPr>
            <w:r>
              <w:rPr>
                <w:rFonts w:hint="default" w:ascii="Times New Roman" w:hAnsi="Times New Roman" w:eastAsia="仿宋_GB2312" w:cs="Times New Roman"/>
                <w:b w:val="0"/>
                <w:sz w:val="28"/>
                <w:szCs w:val="28"/>
              </w:rPr>
              <w:t>具有保健食品“蓝帽子”标识的。</w:t>
            </w:r>
          </w:p>
        </w:tc>
      </w:tr>
      <w:tr w14:paraId="6372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868" w:type="dxa"/>
            <w:vAlign w:val="center"/>
          </w:tcPr>
          <w:p w14:paraId="7694F778">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lang w:val="en-US" w:eastAsia="zh-CN"/>
              </w:rPr>
            </w:pPr>
            <w:r>
              <w:rPr>
                <w:rFonts w:hint="eastAsia" w:ascii="Times New Roman" w:hAnsi="Times New Roman" w:eastAsia="仿宋_GB2312" w:cs="Times New Roman"/>
                <w:b w:val="0"/>
                <w:sz w:val="28"/>
                <w:szCs w:val="28"/>
                <w:lang w:val="en-US" w:eastAsia="zh-CN"/>
              </w:rPr>
              <w:t>2</w:t>
            </w:r>
          </w:p>
        </w:tc>
        <w:tc>
          <w:tcPr>
            <w:tcW w:w="868" w:type="dxa"/>
            <w:vAlign w:val="center"/>
          </w:tcPr>
          <w:p w14:paraId="24F01D28">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生活功能</w:t>
            </w:r>
            <w:r>
              <w:rPr>
                <w:rFonts w:hint="eastAsia" w:ascii="Times New Roman" w:hAnsi="Times New Roman" w:eastAsia="仿宋_GB2312" w:cs="Times New Roman"/>
                <w:b w:val="0"/>
                <w:sz w:val="28"/>
                <w:szCs w:val="28"/>
                <w:lang w:val="en-US" w:eastAsia="zh-CN"/>
              </w:rPr>
              <w:t>为主的</w:t>
            </w:r>
            <w:r>
              <w:rPr>
                <w:rFonts w:hint="default" w:ascii="Times New Roman" w:hAnsi="Times New Roman" w:eastAsia="仿宋_GB2312" w:cs="Times New Roman"/>
                <w:b w:val="0"/>
                <w:sz w:val="28"/>
                <w:szCs w:val="28"/>
              </w:rPr>
              <w:t>医疗器械</w:t>
            </w:r>
          </w:p>
        </w:tc>
        <w:tc>
          <w:tcPr>
            <w:tcW w:w="7108" w:type="dxa"/>
            <w:vAlign w:val="center"/>
          </w:tcPr>
          <w:p w14:paraId="585FC3E2">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eastAsia" w:ascii="Times New Roman" w:hAnsi="Times New Roman" w:eastAsia="仿宋_GB2312" w:cs="Times New Roman"/>
                <w:b w:val="0"/>
                <w:sz w:val="28"/>
                <w:szCs w:val="28"/>
                <w:lang w:val="en-US" w:eastAsia="zh-CN"/>
              </w:rPr>
            </w:pPr>
            <w:r>
              <w:rPr>
                <w:rFonts w:hint="default" w:ascii="Times New Roman" w:hAnsi="Times New Roman" w:eastAsia="仿宋_GB2312" w:cs="Times New Roman"/>
                <w:b w:val="0"/>
                <w:sz w:val="28"/>
                <w:szCs w:val="28"/>
              </w:rPr>
              <w:t>按照医疗器械批准但生活功能为主、医疗属性不强的家具洁具、家用电器、牙膏牙刷及牙线、日常生活用品、面膜及化妆品、隐形眼镜、按摩器具、智能穿戴设备（如智能眼镜、智能手表、智能手环、智能手链、智能项链、智能戒指、智能耳环等），以及主要用于体育健身、养生保健等用途的器械耗材。</w:t>
            </w:r>
          </w:p>
        </w:tc>
      </w:tr>
      <w:tr w14:paraId="0CD5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868" w:type="dxa"/>
            <w:vAlign w:val="center"/>
          </w:tcPr>
          <w:p w14:paraId="62E97FA9">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lang w:val="en-US" w:eastAsia="zh-CN"/>
              </w:rPr>
            </w:pPr>
            <w:r>
              <w:rPr>
                <w:rFonts w:hint="eastAsia" w:ascii="Times New Roman" w:hAnsi="Times New Roman" w:eastAsia="仿宋_GB2312" w:cs="Times New Roman"/>
                <w:b w:val="0"/>
                <w:sz w:val="28"/>
                <w:szCs w:val="28"/>
                <w:lang w:val="en-US" w:eastAsia="zh-CN"/>
              </w:rPr>
              <w:t>3</w:t>
            </w:r>
          </w:p>
        </w:tc>
        <w:tc>
          <w:tcPr>
            <w:tcW w:w="868" w:type="dxa"/>
            <w:vAlign w:val="center"/>
          </w:tcPr>
          <w:p w14:paraId="6BAA362F">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单味中药饮品</w:t>
            </w:r>
          </w:p>
        </w:tc>
        <w:tc>
          <w:tcPr>
            <w:tcW w:w="7108" w:type="dxa"/>
            <w:shd w:val="clear" w:color="auto" w:fill="auto"/>
            <w:vAlign w:val="center"/>
          </w:tcPr>
          <w:p w14:paraId="08ABCD1D">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eastAsia" w:ascii="Times New Roman" w:hAnsi="Times New Roman" w:eastAsia="仿宋_GB2312" w:cs="Times New Roman"/>
                <w:b w:val="0"/>
                <w:sz w:val="28"/>
                <w:szCs w:val="28"/>
                <w:lang w:val="en-US" w:eastAsia="zh-CN"/>
              </w:rPr>
            </w:pPr>
            <w:r>
              <w:rPr>
                <w:rFonts w:hint="default" w:ascii="Times New Roman" w:hAnsi="Times New Roman" w:eastAsia="仿宋_GB2312" w:cs="Times New Roman"/>
                <w:b w:val="0"/>
                <w:sz w:val="28"/>
                <w:szCs w:val="28"/>
              </w:rPr>
              <w:t>米、面、油（包括按中药饮片批准的）、调味品、零食、饮料等普通食品，不含特医食品。按中药饮片批准，但单方售卖的八角茴香、小茴香、肉桂、花椒、生姜、黑胡椒、蜂蜜、草果，</w:t>
            </w:r>
          </w:p>
        </w:tc>
      </w:tr>
      <w:tr w14:paraId="2FFD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jc w:val="center"/>
        </w:trPr>
        <w:tc>
          <w:tcPr>
            <w:tcW w:w="868" w:type="dxa"/>
            <w:vAlign w:val="center"/>
          </w:tcPr>
          <w:p w14:paraId="644969C7">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lang w:val="en-US" w:eastAsia="zh-CN"/>
              </w:rPr>
            </w:pPr>
            <w:r>
              <w:rPr>
                <w:rFonts w:hint="eastAsia" w:ascii="Times New Roman" w:hAnsi="Times New Roman" w:eastAsia="仿宋_GB2312" w:cs="Times New Roman"/>
                <w:b w:val="0"/>
                <w:sz w:val="28"/>
                <w:szCs w:val="28"/>
                <w:lang w:val="en-US" w:eastAsia="zh-CN"/>
              </w:rPr>
              <w:t>4</w:t>
            </w:r>
          </w:p>
        </w:tc>
        <w:tc>
          <w:tcPr>
            <w:tcW w:w="868" w:type="dxa"/>
            <w:vAlign w:val="center"/>
          </w:tcPr>
          <w:p w14:paraId="5BAAE0B5">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日化生活用品</w:t>
            </w:r>
          </w:p>
        </w:tc>
        <w:tc>
          <w:tcPr>
            <w:tcW w:w="7108" w:type="dxa"/>
            <w:vAlign w:val="center"/>
          </w:tcPr>
          <w:p w14:paraId="0ADB6B42">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eastAsia" w:ascii="Times New Roman" w:hAnsi="Times New Roman" w:eastAsia="仿宋_GB2312" w:cs="Times New Roman"/>
                <w:b w:val="0"/>
                <w:sz w:val="28"/>
                <w:szCs w:val="28"/>
                <w:lang w:val="en-US" w:eastAsia="zh-CN"/>
              </w:rPr>
            </w:pPr>
            <w:r>
              <w:rPr>
                <w:rFonts w:hint="default" w:ascii="Times New Roman" w:hAnsi="Times New Roman" w:eastAsia="仿宋_GB2312" w:cs="Times New Roman"/>
                <w:b w:val="0"/>
                <w:sz w:val="28"/>
                <w:szCs w:val="28"/>
              </w:rPr>
              <w:t>卫生纸（巾）</w:t>
            </w:r>
            <w:r>
              <w:rPr>
                <w:rFonts w:hint="eastAsia" w:cs="Times New Roman"/>
                <w:b w:val="0"/>
                <w:sz w:val="28"/>
                <w:szCs w:val="28"/>
                <w:lang w:eastAsia="zh-CN"/>
              </w:rPr>
              <w:t>，</w:t>
            </w:r>
            <w:r>
              <w:rPr>
                <w:rFonts w:hint="eastAsia" w:cs="Times New Roman"/>
                <w:b w:val="0"/>
                <w:sz w:val="28"/>
                <w:szCs w:val="28"/>
                <w:lang w:val="en-US" w:eastAsia="zh-CN"/>
              </w:rPr>
              <w:t>未</w:t>
            </w:r>
            <w:r>
              <w:rPr>
                <w:rFonts w:hint="default" w:ascii="Times New Roman" w:hAnsi="Times New Roman" w:eastAsia="仿宋_GB2312" w:cs="Times New Roman"/>
                <w:b w:val="0"/>
                <w:sz w:val="28"/>
                <w:szCs w:val="28"/>
              </w:rPr>
              <w:t>取得消毒产品卫生许可</w:t>
            </w:r>
            <w:r>
              <w:rPr>
                <w:rFonts w:hint="eastAsia" w:cs="Times New Roman"/>
                <w:b w:val="0"/>
                <w:sz w:val="28"/>
                <w:szCs w:val="28"/>
                <w:lang w:val="en-US" w:eastAsia="zh-CN"/>
              </w:rPr>
              <w:t>的</w:t>
            </w:r>
            <w:r>
              <w:rPr>
                <w:rFonts w:hint="default" w:ascii="Times New Roman" w:hAnsi="Times New Roman" w:eastAsia="仿宋_GB2312" w:cs="Times New Roman"/>
                <w:b w:val="0"/>
                <w:sz w:val="28"/>
                <w:szCs w:val="28"/>
              </w:rPr>
              <w:t>洗手液、消毒水等。</w:t>
            </w:r>
          </w:p>
        </w:tc>
      </w:tr>
      <w:tr w14:paraId="6D38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868" w:type="dxa"/>
            <w:vAlign w:val="center"/>
          </w:tcPr>
          <w:p w14:paraId="5C679E37">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default" w:ascii="Times New Roman" w:hAnsi="Times New Roman" w:eastAsia="仿宋_GB2312" w:cs="Times New Roman"/>
                <w:b w:val="0"/>
                <w:sz w:val="28"/>
                <w:szCs w:val="28"/>
                <w:lang w:val="en-US" w:eastAsia="zh-CN"/>
              </w:rPr>
            </w:pPr>
            <w:r>
              <w:rPr>
                <w:rFonts w:hint="eastAsia" w:ascii="Times New Roman" w:hAnsi="Times New Roman" w:eastAsia="仿宋_GB2312" w:cs="Times New Roman"/>
                <w:b w:val="0"/>
                <w:sz w:val="28"/>
                <w:szCs w:val="28"/>
                <w:lang w:val="en-US" w:eastAsia="zh-CN"/>
              </w:rPr>
              <w:t>5</w:t>
            </w:r>
          </w:p>
        </w:tc>
        <w:tc>
          <w:tcPr>
            <w:tcW w:w="868" w:type="dxa"/>
            <w:vAlign w:val="center"/>
          </w:tcPr>
          <w:p w14:paraId="2E82D46F">
            <w:pPr>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其他</w:t>
            </w:r>
          </w:p>
        </w:tc>
        <w:tc>
          <w:tcPr>
            <w:tcW w:w="7108" w:type="dxa"/>
            <w:vAlign w:val="center"/>
          </w:tcPr>
          <w:p w14:paraId="3A2797E0">
            <w:pPr>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eastAsia" w:ascii="Times New Roman" w:hAnsi="Times New Roman" w:eastAsia="仿宋_GB2312" w:cs="Times New Roman"/>
                <w:b w:val="0"/>
                <w:sz w:val="28"/>
                <w:szCs w:val="28"/>
                <w:lang w:val="en-US" w:eastAsia="zh-CN"/>
              </w:rPr>
            </w:pPr>
            <w:r>
              <w:rPr>
                <w:rFonts w:hint="default" w:ascii="Times New Roman" w:hAnsi="Times New Roman" w:eastAsia="仿宋_GB2312" w:cs="Times New Roman"/>
                <w:b w:val="0"/>
                <w:sz w:val="28"/>
                <w:szCs w:val="28"/>
              </w:rPr>
              <w:t>未经药品监管部门批准的其他产品，但符合</w:t>
            </w:r>
            <w:r>
              <w:rPr>
                <w:rFonts w:hint="eastAsia" w:ascii="黑体" w:hAnsi="黑体" w:eastAsia="黑体" w:cs="黑体"/>
                <w:b w:val="0"/>
                <w:sz w:val="28"/>
                <w:szCs w:val="28"/>
                <w:lang w:val="en-US" w:eastAsia="zh-CN"/>
              </w:rPr>
              <w:t>白名单</w:t>
            </w:r>
            <w:r>
              <w:rPr>
                <w:rFonts w:hint="default" w:ascii="Times New Roman" w:hAnsi="Times New Roman" w:eastAsia="仿宋_GB2312" w:cs="Times New Roman"/>
                <w:b w:val="0"/>
                <w:sz w:val="28"/>
                <w:szCs w:val="28"/>
              </w:rPr>
              <w:t>第4、5项规定的情形除外。</w:t>
            </w:r>
          </w:p>
        </w:tc>
      </w:tr>
    </w:tbl>
    <w:p w14:paraId="5960C992">
      <w:pPr>
        <w:keepNext w:val="0"/>
        <w:keepLines w:val="0"/>
        <w:pageBreakBefore w:val="0"/>
        <w:widowControl w:val="0"/>
        <w:kinsoku/>
        <w:wordWrap/>
        <w:overflowPunct/>
        <w:topLinePunct w:val="0"/>
        <w:autoSpaceDE/>
        <w:autoSpaceDN/>
        <w:bidi w:val="0"/>
        <w:adjustRightInd/>
        <w:snapToGrid/>
        <w:spacing w:line="20" w:lineRule="exact"/>
        <w:textAlignment w:val="auto"/>
      </w:pPr>
    </w:p>
    <w:sectPr>
      <w:footerReference r:id="rId3" w:type="default"/>
      <w:pgSz w:w="11906" w:h="16838"/>
      <w:pgMar w:top="1984" w:right="1474" w:bottom="1701" w:left="1587"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24C336-7E42-456C-94D0-76EBAE30C1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0A239A0-250D-4327-ADF7-1A3496D5A28B}"/>
  </w:font>
  <w:font w:name="方正小标宋_GBK">
    <w:panose1 w:val="02000000000000000000"/>
    <w:charset w:val="86"/>
    <w:family w:val="script"/>
    <w:pitch w:val="default"/>
    <w:sig w:usb0="A00002BF" w:usb1="38CF7CFA" w:usb2="00082016" w:usb3="00000000" w:csb0="00040001" w:csb1="00000000"/>
    <w:embedRegular r:id="rId3" w:fontKey="{E9F41694-5963-4D68-879D-9EEE688627B5}"/>
  </w:font>
  <w:font w:name="方正楷体_GBK">
    <w:panose1 w:val="02000000000000000000"/>
    <w:charset w:val="86"/>
    <w:family w:val="script"/>
    <w:pitch w:val="default"/>
    <w:sig w:usb0="800002BF" w:usb1="38CF7CFA" w:usb2="00000016" w:usb3="00000000" w:csb0="00040000" w:csb1="00000000"/>
    <w:embedRegular r:id="rId4" w:fontKey="{D6ABF4EA-23A5-49BA-ADFA-674705BB4F98}"/>
  </w:font>
  <w:font w:name="微软雅黑">
    <w:panose1 w:val="020B0503020204020204"/>
    <w:charset w:val="86"/>
    <w:family w:val="auto"/>
    <w:pitch w:val="default"/>
    <w:sig w:usb0="80000287" w:usb1="2ACF3C50" w:usb2="00000016" w:usb3="00000000" w:csb0="0004001F" w:csb1="00000000"/>
    <w:embedRegular r:id="rId5" w:fontKey="{ED5C0E5C-8256-4EFF-92C8-FE1E45D1525D}"/>
  </w:font>
  <w:font w:name="楷体_GB2312">
    <w:panose1 w:val="02010609030101010101"/>
    <w:charset w:val="86"/>
    <w:family w:val="auto"/>
    <w:pitch w:val="default"/>
    <w:sig w:usb0="00000001" w:usb1="080E0000" w:usb2="00000000" w:usb3="00000000" w:csb0="00040000" w:csb1="00000000"/>
    <w:embedRegular r:id="rId6" w:fontKey="{858C548B-BD43-4C0C-A947-3DEF1D0F017C}"/>
  </w:font>
  <w:font w:name="方正黑体_GBK">
    <w:panose1 w:val="02010600010101010101"/>
    <w:charset w:val="86"/>
    <w:family w:val="script"/>
    <w:pitch w:val="default"/>
    <w:sig w:usb0="00000001" w:usb1="080E0000" w:usb2="00000000" w:usb3="00000000" w:csb0="00040000" w:csb1="00000000"/>
    <w:embedRegular r:id="rId7" w:fontKey="{1C3D7E65-8D38-49A9-9528-F873D8839778}"/>
  </w:font>
  <w:font w:name="方正小标宋简体">
    <w:panose1 w:val="02010601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9BCB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1D3FE">
                          <w:pPr>
                            <w:pStyle w:val="3"/>
                            <w:rPr>
                              <w:rFonts w:hint="eastAsia" w:asciiTheme="minorEastAsia" w:hAnsiTheme="minorEastAsia" w:eastAsiaTheme="minorEastAsia" w:cstheme="minorEastAsia"/>
                              <w:sz w:val="28"/>
                              <w:szCs w:val="52"/>
                            </w:rPr>
                          </w:pPr>
                          <w:r>
                            <w:rPr>
                              <w:rFonts w:hint="eastAsia" w:asciiTheme="minorEastAsia" w:hAnsiTheme="minorEastAsia" w:eastAsiaTheme="minorEastAsia" w:cstheme="minorEastAsia"/>
                              <w:sz w:val="28"/>
                              <w:szCs w:val="52"/>
                            </w:rPr>
                            <w:fldChar w:fldCharType="begin"/>
                          </w:r>
                          <w:r>
                            <w:rPr>
                              <w:rFonts w:hint="eastAsia" w:asciiTheme="minorEastAsia" w:hAnsiTheme="minorEastAsia" w:eastAsiaTheme="minorEastAsia" w:cstheme="minorEastAsia"/>
                              <w:sz w:val="28"/>
                              <w:szCs w:val="52"/>
                            </w:rPr>
                            <w:instrText xml:space="preserve"> PAGE  \* MERGEFORMAT </w:instrText>
                          </w:r>
                          <w:r>
                            <w:rPr>
                              <w:rFonts w:hint="eastAsia" w:asciiTheme="minorEastAsia" w:hAnsiTheme="minorEastAsia" w:eastAsiaTheme="minorEastAsia" w:cstheme="minorEastAsia"/>
                              <w:sz w:val="28"/>
                              <w:szCs w:val="52"/>
                            </w:rPr>
                            <w:fldChar w:fldCharType="separate"/>
                          </w:r>
                          <w:r>
                            <w:rPr>
                              <w:rFonts w:hint="eastAsia" w:asciiTheme="minorEastAsia" w:hAnsiTheme="minorEastAsia" w:eastAsiaTheme="minorEastAsia" w:cstheme="minorEastAsia"/>
                              <w:sz w:val="28"/>
                              <w:szCs w:val="52"/>
                            </w:rPr>
                            <w:t>1</w:t>
                          </w:r>
                          <w:r>
                            <w:rPr>
                              <w:rFonts w:hint="eastAsia" w:asciiTheme="minorEastAsia" w:hAnsiTheme="minorEastAsia" w:eastAsiaTheme="minorEastAsia" w:cstheme="minorEastAsia"/>
                              <w:sz w:val="28"/>
                              <w:szCs w:val="5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51D3FE">
                    <w:pPr>
                      <w:pStyle w:val="3"/>
                      <w:rPr>
                        <w:rFonts w:hint="eastAsia" w:asciiTheme="minorEastAsia" w:hAnsiTheme="minorEastAsia" w:eastAsiaTheme="minorEastAsia" w:cstheme="minorEastAsia"/>
                        <w:sz w:val="28"/>
                        <w:szCs w:val="52"/>
                      </w:rPr>
                    </w:pPr>
                    <w:r>
                      <w:rPr>
                        <w:rFonts w:hint="eastAsia" w:asciiTheme="minorEastAsia" w:hAnsiTheme="minorEastAsia" w:eastAsiaTheme="minorEastAsia" w:cstheme="minorEastAsia"/>
                        <w:sz w:val="28"/>
                        <w:szCs w:val="52"/>
                      </w:rPr>
                      <w:fldChar w:fldCharType="begin"/>
                    </w:r>
                    <w:r>
                      <w:rPr>
                        <w:rFonts w:hint="eastAsia" w:asciiTheme="minorEastAsia" w:hAnsiTheme="minorEastAsia" w:eastAsiaTheme="minorEastAsia" w:cstheme="minorEastAsia"/>
                        <w:sz w:val="28"/>
                        <w:szCs w:val="52"/>
                      </w:rPr>
                      <w:instrText xml:space="preserve"> PAGE  \* MERGEFORMAT </w:instrText>
                    </w:r>
                    <w:r>
                      <w:rPr>
                        <w:rFonts w:hint="eastAsia" w:asciiTheme="minorEastAsia" w:hAnsiTheme="minorEastAsia" w:eastAsiaTheme="minorEastAsia" w:cstheme="minorEastAsia"/>
                        <w:sz w:val="28"/>
                        <w:szCs w:val="52"/>
                      </w:rPr>
                      <w:fldChar w:fldCharType="separate"/>
                    </w:r>
                    <w:r>
                      <w:rPr>
                        <w:rFonts w:hint="eastAsia" w:asciiTheme="minorEastAsia" w:hAnsiTheme="minorEastAsia" w:eastAsiaTheme="minorEastAsia" w:cstheme="minorEastAsia"/>
                        <w:sz w:val="28"/>
                        <w:szCs w:val="52"/>
                      </w:rPr>
                      <w:t>1</w:t>
                    </w:r>
                    <w:r>
                      <w:rPr>
                        <w:rFonts w:hint="eastAsia" w:asciiTheme="minorEastAsia" w:hAnsiTheme="minorEastAsia" w:eastAsiaTheme="minorEastAsia" w:cstheme="minorEastAsia"/>
                        <w:sz w:val="28"/>
                        <w:szCs w:val="5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F0A80"/>
    <w:rsid w:val="033E0D39"/>
    <w:rsid w:val="050D65F7"/>
    <w:rsid w:val="05D159ED"/>
    <w:rsid w:val="06D84682"/>
    <w:rsid w:val="09D66CC1"/>
    <w:rsid w:val="0A9B6BDB"/>
    <w:rsid w:val="0D03439B"/>
    <w:rsid w:val="0F761781"/>
    <w:rsid w:val="112E2143"/>
    <w:rsid w:val="14933A40"/>
    <w:rsid w:val="15DB44F0"/>
    <w:rsid w:val="1B41605B"/>
    <w:rsid w:val="1E6875CE"/>
    <w:rsid w:val="234377BC"/>
    <w:rsid w:val="2B820CF7"/>
    <w:rsid w:val="2D5F02F1"/>
    <w:rsid w:val="30C419B0"/>
    <w:rsid w:val="32356A97"/>
    <w:rsid w:val="3FF027C2"/>
    <w:rsid w:val="41272213"/>
    <w:rsid w:val="41BE328A"/>
    <w:rsid w:val="42A47387"/>
    <w:rsid w:val="43C735CE"/>
    <w:rsid w:val="440C7A78"/>
    <w:rsid w:val="459B4F7E"/>
    <w:rsid w:val="48514C2A"/>
    <w:rsid w:val="4ADB1BD6"/>
    <w:rsid w:val="4F02165B"/>
    <w:rsid w:val="51F356E2"/>
    <w:rsid w:val="53752DF0"/>
    <w:rsid w:val="56270168"/>
    <w:rsid w:val="598F04FE"/>
    <w:rsid w:val="5A074F2C"/>
    <w:rsid w:val="5B46714E"/>
    <w:rsid w:val="5C2466F1"/>
    <w:rsid w:val="5C431A63"/>
    <w:rsid w:val="5EF157B7"/>
    <w:rsid w:val="5EF62DCD"/>
    <w:rsid w:val="625B12B5"/>
    <w:rsid w:val="6E6B5369"/>
    <w:rsid w:val="71DC5870"/>
    <w:rsid w:val="7746449A"/>
    <w:rsid w:val="7904792F"/>
    <w:rsid w:val="7A401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6e316874-0dfc-4317-a010-92370e0d2ad7</errorID>
      <errorWord>支付</errorWord>
      <group>L1_Grammar</group>
      <groupName>语法问题</groupName>
      <ability>L2_Grammar</ability>
      <abilityName>语法错误</abilityName>
      <candidateList>
        <item>可用于支付</item>
      </candidateList>
      <explain/>
      <paraID>4CE60489</paraID>
      <start>146</start>
      <end>148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bcf338-f4b9-49a8-9287-6afc079c04fd}">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2363</Words>
  <Characters>2421</Characters>
  <Lines>0</Lines>
  <Paragraphs>0</Paragraphs>
  <TotalTime>93</TotalTime>
  <ScaleCrop>false</ScaleCrop>
  <LinksUpToDate>false</LinksUpToDate>
  <CharactersWithSpaces>2460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2025-04-27T02:35:00Z</dcterms:created>
  <dc:creator>监管处</dc:creator>
  <cp:lastModifiedBy> </cp:lastModifiedBy>
  <cp:lastPrinted>2026-09-14T02:17:00Z</cp:lastPrinted>
  <dcterms:modified xsi:type="dcterms:W3CDTF">2026-09-14T11:11:34Z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36997C564BAD4E1E9E179A3641D2875B_13</vt:lpwstr>
  </property>
  <property fmtid="{D5CDD505-2E9C-101B-9397-08002B2CF9AE}" pid="4" name="KSOTemplateDocerSaveRecord">
    <vt:lpwstr>eyJoZGlkIjoiZWQzZGI1MDQxM2Y4NDAxOTcwNWYyZWI2Yzg1N2Q2MWYiLCJ1c2VySWQiOiIzODU3ODk2OTQifQ==</vt:lpwstr>
  </property>
</Properties>
</file>