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附件4：</w:t>
      </w:r>
    </w:p>
    <w:p>
      <w:pPr>
        <w:jc w:val="both"/>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“双通道”管理药品名单调整说明</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方正黑体_GBK" w:hAnsi="方正黑体_GBK" w:eastAsia="方正黑体_GBK" w:cs="方正黑体_GBK"/>
          <w:sz w:val="32"/>
          <w:szCs w:val="32"/>
          <w:lang w:val="en-US" w:eastAsia="zh-CN"/>
        </w:rPr>
        <w:t>一、总体情况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“双通道”管理药品名单内药品总数量179个。</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和附件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均为国家协议期谈判药品，其中附件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（肿瘤用药）71个通用名，附件</w:t>
      </w:r>
      <w:r>
        <w:rPr>
          <w:rFonts w:hint="eastAsia" w:ascii="仿宋_GB2312" w:hAnsi="仿宋_GB2312" w:eastAsia="仿宋_GB2312" w:cs="仿宋_GB2312"/>
          <w:sz w:val="32"/>
          <w:szCs w:val="32"/>
          <w:lang w:val="en-US" w:eastAsia="zh-CN"/>
        </w:rPr>
        <w:t>2（特殊疾病用药）</w:t>
      </w:r>
      <w:r>
        <w:rPr>
          <w:rFonts w:hint="eastAsia" w:ascii="仿宋_GB2312" w:hAnsi="仿宋_GB2312" w:eastAsia="仿宋_GB2312" w:cs="仿宋_GB2312"/>
          <w:sz w:val="32"/>
          <w:szCs w:val="32"/>
          <w:lang w:eastAsia="zh-CN"/>
        </w:rPr>
        <w:t>83个通用名。附件</w:t>
      </w:r>
      <w:r>
        <w:rPr>
          <w:rFonts w:hint="eastAsia" w:ascii="仿宋_GB2312" w:hAnsi="仿宋_GB2312" w:eastAsia="仿宋_GB2312" w:cs="仿宋_GB2312"/>
          <w:sz w:val="32"/>
          <w:szCs w:val="32"/>
          <w:lang w:val="en-US" w:eastAsia="zh-CN"/>
        </w:rPr>
        <w:t>3（常规目录</w:t>
      </w:r>
      <w:r>
        <w:rPr>
          <w:rFonts w:hint="eastAsia" w:ascii="仿宋_GB2312" w:hAnsi="仿宋_GB2312" w:eastAsia="仿宋_GB2312" w:cs="仿宋_GB2312"/>
          <w:sz w:val="32"/>
          <w:szCs w:val="32"/>
          <w:lang w:eastAsia="zh-CN"/>
        </w:rPr>
        <w:t>乙类特殊疾病、高值药品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25个通用名。</w:t>
      </w:r>
    </w:p>
    <w:p>
      <w:pPr>
        <w:pStyle w:val="8"/>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auto"/>
        <w:rPr>
          <w:rFonts w:hint="eastAsia" w:ascii="方正黑体_GBK" w:hAnsi="方正黑体_GBK" w:eastAsia="方正黑体_GBK" w:cs="方正黑体_GBK"/>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方正仿宋_GBK" w:cs="Times New Roman"/>
          <w:b/>
          <w:bCs/>
          <w:sz w:val="32"/>
          <w:szCs w:val="32"/>
          <w:highlight w:val="none"/>
          <w:lang w:val="en-US" w:eastAsia="zh-CN"/>
        </w:rPr>
        <w:t xml:space="preserve">  </w:t>
      </w:r>
      <w:r>
        <w:rPr>
          <w:rFonts w:hint="eastAsia" w:ascii="方正黑体_GBK" w:hAnsi="方正黑体_GBK" w:eastAsia="方正黑体_GBK" w:cs="方正黑体_GBK"/>
          <w:sz w:val="32"/>
          <w:szCs w:val="32"/>
          <w:lang w:val="en-US" w:eastAsia="zh-CN"/>
        </w:rPr>
        <w:t>二、药品调整情况</w:t>
      </w:r>
    </w:p>
    <w:p>
      <w:pPr>
        <w:pStyle w:val="8"/>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val="0"/>
          <w:bCs w:val="0"/>
          <w:sz w:val="32"/>
          <w:szCs w:val="32"/>
          <w:lang w:eastAsia="zh-CN"/>
        </w:rPr>
      </w:pPr>
      <w:r>
        <w:rPr>
          <w:rFonts w:hint="eastAsia" w:ascii="Times New Roman" w:hAnsi="Times New Roman" w:eastAsia="方正仿宋_GBK" w:cs="Times New Roman"/>
          <w:b/>
          <w:bCs/>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附件</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lang w:eastAsia="zh-CN"/>
        </w:rPr>
        <w:t>更新前：原附件</w:t>
      </w:r>
      <w:r>
        <w:rPr>
          <w:rFonts w:hint="eastAsia" w:ascii="仿宋_GB2312" w:hAnsi="仿宋_GB2312" w:eastAsia="仿宋_GB2312" w:cs="仿宋_GB2312"/>
          <w:b w:val="0"/>
          <w:bCs w:val="0"/>
          <w:sz w:val="32"/>
          <w:szCs w:val="32"/>
          <w:lang w:val="en-US" w:eastAsia="zh-CN"/>
        </w:rPr>
        <w:t>1共</w:t>
      </w:r>
      <w:r>
        <w:rPr>
          <w:rFonts w:hint="eastAsia" w:ascii="仿宋_GB2312" w:hAnsi="仿宋_GB2312" w:eastAsia="仿宋_GB2312" w:cs="仿宋_GB2312"/>
          <w:b w:val="0"/>
          <w:bCs w:val="0"/>
          <w:sz w:val="32"/>
          <w:szCs w:val="32"/>
          <w:lang w:eastAsia="zh-CN"/>
        </w:rPr>
        <w:t>75个，其中原13个谈判转乙类，2022年国家谈判5个品种谈判转乙类。更新后：附件</w:t>
      </w:r>
      <w:r>
        <w:rPr>
          <w:rFonts w:hint="eastAsia" w:ascii="仿宋_GB2312" w:hAnsi="仿宋_GB2312" w:eastAsia="仿宋_GB2312" w:cs="仿宋_GB2312"/>
          <w:b w:val="0"/>
          <w:bCs w:val="0"/>
          <w:sz w:val="32"/>
          <w:szCs w:val="32"/>
          <w:lang w:val="en-US" w:eastAsia="zh-CN"/>
        </w:rPr>
        <w:t>1共</w:t>
      </w:r>
      <w:r>
        <w:rPr>
          <w:rFonts w:hint="eastAsia" w:ascii="仿宋_GB2312" w:hAnsi="仿宋_GB2312" w:eastAsia="仿宋_GB2312" w:cs="仿宋_GB2312"/>
          <w:b w:val="0"/>
          <w:bCs w:val="0"/>
          <w:sz w:val="32"/>
          <w:szCs w:val="32"/>
          <w:lang w:eastAsia="zh-CN"/>
        </w:rPr>
        <w:t>71个谈判品种，其中57个原目录产品在协议期，13个新谈判准入，1个竞价准入。</w:t>
      </w:r>
    </w:p>
    <w:p>
      <w:pPr>
        <w:pStyle w:val="8"/>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附件</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lang w:eastAsia="zh-CN"/>
        </w:rPr>
        <w:t>更新前：原附件</w:t>
      </w:r>
      <w:r>
        <w:rPr>
          <w:rFonts w:hint="eastAsia" w:ascii="仿宋_GB2312" w:hAnsi="仿宋_GB2312" w:eastAsia="仿宋_GB2312" w:cs="仿宋_GB2312"/>
          <w:b w:val="0"/>
          <w:bCs w:val="0"/>
          <w:sz w:val="32"/>
          <w:szCs w:val="32"/>
          <w:lang w:val="en-US" w:eastAsia="zh-CN"/>
        </w:rPr>
        <w:t>2共</w:t>
      </w:r>
      <w:r>
        <w:rPr>
          <w:rFonts w:hint="eastAsia" w:ascii="仿宋_GB2312" w:hAnsi="仿宋_GB2312" w:eastAsia="仿宋_GB2312" w:cs="仿宋_GB2312"/>
          <w:b w:val="0"/>
          <w:bCs w:val="0"/>
          <w:sz w:val="32"/>
          <w:szCs w:val="32"/>
          <w:lang w:eastAsia="zh-CN"/>
        </w:rPr>
        <w:t>65个，其中6个谈判转乙类。更新后：附件</w:t>
      </w:r>
      <w:r>
        <w:rPr>
          <w:rFonts w:hint="eastAsia" w:ascii="仿宋_GB2312" w:hAnsi="仿宋_GB2312" w:eastAsia="仿宋_GB2312" w:cs="仿宋_GB2312"/>
          <w:b w:val="0"/>
          <w:bCs w:val="0"/>
          <w:sz w:val="32"/>
          <w:szCs w:val="32"/>
          <w:lang w:val="en-US" w:eastAsia="zh-CN"/>
        </w:rPr>
        <w:t>2共</w:t>
      </w:r>
      <w:r>
        <w:rPr>
          <w:rFonts w:hint="eastAsia" w:ascii="仿宋_GB2312" w:hAnsi="仿宋_GB2312" w:eastAsia="仿宋_GB2312" w:cs="仿宋_GB2312"/>
          <w:b w:val="0"/>
          <w:bCs w:val="0"/>
          <w:sz w:val="32"/>
          <w:szCs w:val="32"/>
          <w:lang w:eastAsia="zh-CN"/>
        </w:rPr>
        <w:t>83个谈判品种，其中59个原目录，原附件3的1个品种重组人血小板生成素注射液（协议期）调整到附件2，新增谈判准入23个</w:t>
      </w:r>
      <w:r>
        <w:rPr>
          <w:rFonts w:hint="eastAsia" w:ascii="仿宋_GB2312" w:hAnsi="仿宋_GB2312" w:eastAsia="仿宋_GB2312" w:cs="仿宋_GB2312"/>
          <w:b w:val="0"/>
          <w:bCs w:val="0"/>
          <w:sz w:val="32"/>
          <w:szCs w:val="32"/>
          <w:highlight w:val="none"/>
          <w:lang w:eastAsia="zh-CN"/>
        </w:rPr>
        <w:t>。</w:t>
      </w:r>
    </w:p>
    <w:p>
      <w:pPr>
        <w:pStyle w:val="8"/>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highlight w:val="none"/>
          <w:lang w:eastAsia="zh-CN"/>
        </w:rPr>
        <w:t>附件</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lang w:eastAsia="zh-CN"/>
        </w:rPr>
        <w:t>更新前：原附件</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共20个药品，其中含</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个谈判期品（</w:t>
      </w:r>
      <w:r>
        <w:rPr>
          <w:rFonts w:hint="eastAsia" w:ascii="仿宋_GB2312" w:hAnsi="仿宋_GB2312" w:eastAsia="仿宋_GB2312" w:cs="仿宋_GB2312"/>
          <w:b w:val="0"/>
          <w:bCs w:val="0"/>
          <w:sz w:val="32"/>
          <w:szCs w:val="32"/>
          <w:lang w:val="en-US" w:eastAsia="zh-CN"/>
        </w:rPr>
        <w:t>2022年谈判</w:t>
      </w:r>
      <w:r>
        <w:rPr>
          <w:rFonts w:hint="eastAsia" w:ascii="仿宋_GB2312" w:hAnsi="仿宋_GB2312" w:eastAsia="仿宋_GB2312" w:cs="仿宋_GB2312"/>
          <w:b w:val="0"/>
          <w:bCs w:val="0"/>
          <w:sz w:val="32"/>
          <w:szCs w:val="32"/>
          <w:lang w:eastAsia="zh-CN"/>
        </w:rPr>
        <w:t>）。更新后：附件</w:t>
      </w:r>
      <w:r>
        <w:rPr>
          <w:rFonts w:hint="eastAsia" w:ascii="仿宋_GB2312" w:hAnsi="仿宋_GB2312" w:eastAsia="仿宋_GB2312" w:cs="仿宋_GB2312"/>
          <w:b w:val="0"/>
          <w:bCs w:val="0"/>
          <w:sz w:val="32"/>
          <w:szCs w:val="32"/>
          <w:lang w:val="en-US" w:eastAsia="zh-CN"/>
        </w:rPr>
        <w:t>3共计25个品种，其中原保留药品19个，</w:t>
      </w:r>
      <w:r>
        <w:rPr>
          <w:rFonts w:hint="eastAsia" w:ascii="仿宋_GB2312" w:hAnsi="仿宋_GB2312" w:eastAsia="仿宋_GB2312" w:cs="仿宋_GB2312"/>
          <w:b w:val="0"/>
          <w:bCs w:val="0"/>
          <w:sz w:val="32"/>
          <w:szCs w:val="32"/>
          <w:lang w:eastAsia="zh-CN"/>
        </w:rPr>
        <w:t>增加6个谈判转乙类，并将谈判期1个调出。</w:t>
      </w:r>
    </w:p>
    <w:p>
      <w:pPr>
        <w:pStyle w:val="8"/>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以上“原附件”是指</w:t>
      </w:r>
      <w:r>
        <w:rPr>
          <w:rFonts w:hint="eastAsia" w:ascii="仿宋_GB2312" w:hAnsi="仿宋_GB2312" w:eastAsia="仿宋_GB2312" w:cs="仿宋_GB2312"/>
          <w:b w:val="0"/>
          <w:bCs w:val="0"/>
          <w:sz w:val="32"/>
          <w:szCs w:val="32"/>
          <w:lang w:val="en-US" w:eastAsia="zh-CN"/>
        </w:rPr>
        <w:t>《关于动态调整“双通道”管理特殊药品目录的通知》（新</w:t>
      </w:r>
      <w:r>
        <w:rPr>
          <w:rFonts w:hint="default" w:ascii="Times New Roman" w:hAnsi="Times New Roman" w:eastAsia="方正仿宋_GBK" w:cs="Times New Roman"/>
          <w:b w:val="0"/>
          <w:bCs w:val="0"/>
          <w:color w:val="auto"/>
          <w:spacing w:val="11"/>
          <w:sz w:val="32"/>
          <w:szCs w:val="32"/>
        </w:rPr>
        <w:t>医保</w:t>
      </w:r>
      <w:r>
        <w:rPr>
          <w:rFonts w:hint="eastAsia" w:ascii="Times New Roman" w:hAnsi="Times New Roman" w:eastAsia="方正仿宋_GBK" w:cs="Times New Roman"/>
          <w:b w:val="0"/>
          <w:bCs w:val="0"/>
          <w:color w:val="auto"/>
          <w:spacing w:val="11"/>
          <w:sz w:val="32"/>
          <w:szCs w:val="32"/>
          <w:lang w:eastAsia="zh-CN"/>
        </w:rPr>
        <w:t>函</w:t>
      </w:r>
      <w:r>
        <w:rPr>
          <w:rFonts w:hint="default" w:ascii="Times New Roman" w:hAnsi="Times New Roman" w:eastAsia="方正仿宋_GBK" w:cs="Times New Roman"/>
          <w:b w:val="0"/>
          <w:bCs w:val="0"/>
          <w:color w:val="auto"/>
          <w:spacing w:val="11"/>
          <w:sz w:val="32"/>
          <w:szCs w:val="32"/>
        </w:rPr>
        <w:t>〔202</w:t>
      </w:r>
      <w:r>
        <w:rPr>
          <w:rFonts w:hint="eastAsia" w:ascii="Times New Roman" w:hAnsi="Times New Roman" w:eastAsia="方正仿宋_GBK" w:cs="Times New Roman"/>
          <w:b w:val="0"/>
          <w:bCs w:val="0"/>
          <w:color w:val="auto"/>
          <w:spacing w:val="11"/>
          <w:sz w:val="32"/>
          <w:szCs w:val="32"/>
          <w:lang w:val="en-US" w:eastAsia="zh-CN"/>
        </w:rPr>
        <w:t>2</w:t>
      </w:r>
      <w:r>
        <w:rPr>
          <w:rFonts w:hint="default" w:ascii="Times New Roman" w:hAnsi="Times New Roman" w:eastAsia="方正仿宋_GBK" w:cs="Times New Roman"/>
          <w:b w:val="0"/>
          <w:bCs w:val="0"/>
          <w:color w:val="auto"/>
          <w:spacing w:val="11"/>
          <w:sz w:val="32"/>
          <w:szCs w:val="32"/>
        </w:rPr>
        <w:t>〕</w:t>
      </w:r>
      <w:r>
        <w:rPr>
          <w:rFonts w:hint="eastAsia" w:ascii="Times New Roman" w:hAnsi="Times New Roman" w:eastAsia="方正仿宋_GBK" w:cs="Times New Roman"/>
          <w:b w:val="0"/>
          <w:bCs w:val="0"/>
          <w:color w:val="auto"/>
          <w:spacing w:val="11"/>
          <w:sz w:val="32"/>
          <w:szCs w:val="32"/>
          <w:lang w:val="en-US" w:eastAsia="zh-CN"/>
        </w:rPr>
        <w:t>19</w:t>
      </w:r>
      <w:r>
        <w:rPr>
          <w:rFonts w:hint="default" w:ascii="Times New Roman" w:hAnsi="Times New Roman" w:eastAsia="方正仿宋_GBK" w:cs="Times New Roman"/>
          <w:b w:val="0"/>
          <w:bCs w:val="0"/>
          <w:color w:val="auto"/>
          <w:spacing w:val="11"/>
          <w:sz w:val="32"/>
          <w:szCs w:val="32"/>
        </w:rPr>
        <w:t>号</w:t>
      </w:r>
      <w:r>
        <w:rPr>
          <w:rFonts w:hint="eastAsia" w:ascii="仿宋_GB2312" w:hAnsi="仿宋_GB2312" w:eastAsia="仿宋_GB2312" w:cs="仿宋_GB2312"/>
          <w:b w:val="0"/>
          <w:bCs w:val="0"/>
          <w:sz w:val="32"/>
          <w:szCs w:val="32"/>
          <w:lang w:val="en-US" w:eastAsia="zh-CN"/>
        </w:rPr>
        <w:t>）文件中的附件。</w:t>
      </w:r>
    </w:p>
    <w:p>
      <w:pPr>
        <w:pStyle w:val="8"/>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三、支付范围动态调整情况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协议期内谈判药品目录涉及调整支付范围已经依照国家调整的支付范围做了更新。</w:t>
      </w:r>
    </w:p>
    <w:p>
      <w:pPr>
        <w:pStyle w:val="8"/>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lang w:val="en" w:eastAsia="zh-CN"/>
        </w:rPr>
        <w:t xml:space="preserve"> </w:t>
      </w:r>
      <w:r>
        <w:rPr>
          <w:rFonts w:hint="eastAsia" w:ascii="方正黑体_GBK" w:hAnsi="方正黑体_GBK" w:eastAsia="方正黑体_GBK" w:cs="方正黑体_GBK"/>
          <w:sz w:val="32"/>
          <w:szCs w:val="32"/>
          <w:lang w:val="en-US" w:eastAsia="zh-CN"/>
        </w:rPr>
        <w:t xml:space="preserve"> 四、政策持续性与动态调整结合情况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本着</w:t>
      </w:r>
      <w:r>
        <w:rPr>
          <w:rFonts w:hint="default" w:ascii="Times New Roman" w:hAnsi="Times New Roman" w:eastAsia="方正仿宋_GBK" w:cs="Times New Roman"/>
          <w:sz w:val="32"/>
          <w:szCs w:val="32"/>
          <w:lang w:eastAsia="zh-CN"/>
        </w:rPr>
        <w:t>报销待遇不变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方便患者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简化肿瘤患者的备案流程</w:t>
      </w:r>
      <w:r>
        <w:rPr>
          <w:rFonts w:hint="eastAsia" w:ascii="Times New Roman" w:hAnsi="Times New Roman" w:eastAsia="方正仿宋_GBK" w:cs="Times New Roman"/>
          <w:sz w:val="32"/>
          <w:szCs w:val="32"/>
          <w:lang w:eastAsia="zh-CN"/>
        </w:rPr>
        <w:t>的原则</w:t>
      </w:r>
      <w:r>
        <w:rPr>
          <w:rFonts w:hint="default" w:ascii="Times New Roman" w:hAnsi="Times New Roman" w:eastAsia="方正仿宋_GBK" w:cs="Times New Roman"/>
          <w:sz w:val="32"/>
          <w:szCs w:val="32"/>
          <w:lang w:eastAsia="zh-CN"/>
        </w:rPr>
        <w:t>，将</w:t>
      </w:r>
      <w:r>
        <w:rPr>
          <w:rFonts w:hint="eastAsia" w:ascii="Times New Roman" w:hAnsi="Times New Roman" w:eastAsia="方正仿宋_GBK" w:cs="Times New Roman"/>
          <w:sz w:val="32"/>
          <w:szCs w:val="32"/>
          <w:lang w:eastAsia="zh-CN"/>
        </w:rPr>
        <w:t>原</w:t>
      </w:r>
      <w:r>
        <w:rPr>
          <w:rFonts w:hint="default"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基本医疗保险特殊药品</w:t>
      </w:r>
      <w:r>
        <w:rPr>
          <w:rFonts w:hint="eastAsia" w:ascii="Times New Roman" w:hAnsi="Times New Roman" w:eastAsia="方正仿宋_GBK" w:cs="Times New Roman"/>
          <w:sz w:val="32"/>
          <w:szCs w:val="32"/>
          <w:lang w:eastAsia="zh-CN"/>
        </w:rPr>
        <w:t>名单</w:t>
      </w:r>
      <w:r>
        <w:rPr>
          <w:rFonts w:hint="default" w:ascii="Times New Roman" w:hAnsi="Times New Roman" w:eastAsia="方正仿宋_GBK" w:cs="Times New Roman"/>
          <w:sz w:val="32"/>
          <w:szCs w:val="32"/>
          <w:lang w:eastAsia="zh-CN"/>
        </w:rPr>
        <w:t>（恶性肿瘤类药品）国家已经调出协议期内谈判药品全部调出</w:t>
      </w:r>
      <w:r>
        <w:rPr>
          <w:rFonts w:hint="eastAsia" w:ascii="Times New Roman" w:hAnsi="Times New Roman" w:eastAsia="方正仿宋_GBK" w:cs="Times New Roman"/>
          <w:sz w:val="32"/>
          <w:szCs w:val="32"/>
          <w:lang w:eastAsia="zh-CN"/>
        </w:rPr>
        <w:t>，参保患者使用恶性肿瘤门诊慢特病结算</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将原附件</w:t>
      </w:r>
      <w:r>
        <w:rPr>
          <w:rFonts w:hint="eastAsia" w:ascii="Times New Roman" w:hAnsi="Times New Roman" w:eastAsia="方正仿宋_GBK" w:cs="Times New Roman"/>
          <w:sz w:val="32"/>
          <w:szCs w:val="32"/>
          <w:lang w:val="en-US" w:eastAsia="zh-CN"/>
        </w:rPr>
        <w:t>2中部分转乙类的谈判药品调整至附件3，保证特殊、罕见疾病患者用药和待遇的连续性。</w:t>
      </w:r>
    </w:p>
    <w:p>
      <w:pPr>
        <w:pStyle w:val="8"/>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auto"/>
        <w:rPr>
          <w:rFonts w:hint="default" w:ascii="方正黑体_GBK" w:hAnsi="方正黑体_GBK" w:eastAsia="方正黑体_GBK" w:cs="方正黑体_GBK"/>
          <w:sz w:val="32"/>
          <w:szCs w:val="32"/>
          <w:lang w:val="en" w:eastAsia="zh-CN"/>
        </w:rPr>
      </w:pPr>
      <w:r>
        <w:rPr>
          <w:rFonts w:hint="default" w:ascii="方正黑体_GBK" w:hAnsi="方正黑体_GBK" w:eastAsia="方正黑体_GBK" w:cs="方正黑体_GBK"/>
          <w:sz w:val="32"/>
          <w:szCs w:val="32"/>
          <w:lang w:val="en" w:eastAsia="zh-CN"/>
        </w:rPr>
        <w:t xml:space="preserve">        五、认定标准及所需证明材料情况</w:t>
      </w:r>
    </w:p>
    <w:p>
      <w:pPr>
        <w:pStyle w:val="8"/>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“双通道”管理药品名单内药品</w:t>
      </w:r>
      <w:r>
        <w:rPr>
          <w:rFonts w:hint="default" w:ascii="Times New Roman" w:hAnsi="Times New Roman" w:eastAsia="方正仿宋_GBK" w:cs="Times New Roman"/>
          <w:sz w:val="32"/>
          <w:szCs w:val="32"/>
          <w:lang w:eastAsia="zh-CN"/>
        </w:rPr>
        <w:t>已经依照</w:t>
      </w:r>
      <w:r>
        <w:rPr>
          <w:rFonts w:hint="eastAsia" w:ascii="Times New Roman" w:hAnsi="Times New Roman" w:eastAsia="方正仿宋_GBK" w:cs="Times New Roman"/>
          <w:sz w:val="32"/>
          <w:szCs w:val="32"/>
          <w:lang w:eastAsia="zh-CN"/>
        </w:rPr>
        <w:t>《国家基本医疗保险、工伤保险和生育保险药品目录（</w:t>
      </w:r>
      <w:r>
        <w:rPr>
          <w:rFonts w:hint="eastAsia" w:ascii="Times New Roman" w:hAnsi="Times New Roman" w:eastAsia="方正仿宋_GBK" w:cs="Times New Roman"/>
          <w:sz w:val="32"/>
          <w:szCs w:val="32"/>
          <w:lang w:val="en-US" w:eastAsia="zh-CN"/>
        </w:rPr>
        <w:t>2022年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更新</w:t>
      </w:r>
      <w:r>
        <w:rPr>
          <w:rFonts w:hint="eastAsia"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lang w:eastAsia="zh-CN"/>
        </w:rPr>
        <w:t>支付范围</w:t>
      </w:r>
      <w:r>
        <w:rPr>
          <w:rFonts w:hint="eastAsia" w:ascii="Times New Roman" w:hAnsi="Times New Roman" w:eastAsia="方正仿宋_GBK" w:cs="Times New Roman"/>
          <w:sz w:val="32"/>
          <w:szCs w:val="32"/>
          <w:lang w:eastAsia="zh-CN"/>
        </w:rPr>
        <w:t>和限定支付条件，并对应制定了认定标准和所需证明材料。各统筹地区不得调整药品名单、支付范围和限定支付条件，如本统筹地区定点医疗机构检查、检验水平无法满足个别药品认定标准，无法提供所需证明材料的，可根据实际调整认定标准和所需证明材料。</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mOWViN2RjNzkxMDU5Y2Y2MjNhNDE2ZjU2NGFjYTYifQ=="/>
  </w:docVars>
  <w:rsids>
    <w:rsidRoot w:val="00076AE0"/>
    <w:rsid w:val="00076AE0"/>
    <w:rsid w:val="000C77B6"/>
    <w:rsid w:val="004A0717"/>
    <w:rsid w:val="004D0E76"/>
    <w:rsid w:val="006F58FD"/>
    <w:rsid w:val="007866DE"/>
    <w:rsid w:val="00C51192"/>
    <w:rsid w:val="00C72CE3"/>
    <w:rsid w:val="00C80AFF"/>
    <w:rsid w:val="00C91361"/>
    <w:rsid w:val="00E404EF"/>
    <w:rsid w:val="00F31F85"/>
    <w:rsid w:val="00FF5FC9"/>
    <w:rsid w:val="0A334A51"/>
    <w:rsid w:val="10207B26"/>
    <w:rsid w:val="11661549"/>
    <w:rsid w:val="144638D4"/>
    <w:rsid w:val="18055854"/>
    <w:rsid w:val="25C67453"/>
    <w:rsid w:val="2B9F3B9D"/>
    <w:rsid w:val="2E9E4A80"/>
    <w:rsid w:val="30F50A08"/>
    <w:rsid w:val="3DFD926F"/>
    <w:rsid w:val="3FED6081"/>
    <w:rsid w:val="4B5FD9D2"/>
    <w:rsid w:val="4DFD183E"/>
    <w:rsid w:val="601F4E5D"/>
    <w:rsid w:val="63FFB043"/>
    <w:rsid w:val="677DF8F2"/>
    <w:rsid w:val="6DBFD436"/>
    <w:rsid w:val="6F897271"/>
    <w:rsid w:val="72EBE142"/>
    <w:rsid w:val="73807D8D"/>
    <w:rsid w:val="74A52E74"/>
    <w:rsid w:val="75F5A9BA"/>
    <w:rsid w:val="7BDD4F97"/>
    <w:rsid w:val="7D8F8352"/>
    <w:rsid w:val="7F774CCE"/>
    <w:rsid w:val="7FCFFA3F"/>
    <w:rsid w:val="7FFF2BE7"/>
    <w:rsid w:val="B3595386"/>
    <w:rsid w:val="BBBE6F6A"/>
    <w:rsid w:val="BEF41D4A"/>
    <w:rsid w:val="BFBFA78A"/>
    <w:rsid w:val="DF3D77BD"/>
    <w:rsid w:val="DF7FA734"/>
    <w:rsid w:val="E54E1631"/>
    <w:rsid w:val="FBEFAFDD"/>
    <w:rsid w:val="FEFA2D35"/>
    <w:rsid w:val="FFC7D32A"/>
    <w:rsid w:val="FFDB2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cs="Arial" w:eastAsiaTheme="minorEastAsia"/>
      <w:lang w:val="en-US" w:eastAsia="en-US"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660</Words>
  <Characters>685</Characters>
  <Lines>4</Lines>
  <Paragraphs>1</Paragraphs>
  <TotalTime>2</TotalTime>
  <ScaleCrop>false</ScaleCrop>
  <LinksUpToDate>false</LinksUpToDate>
  <CharactersWithSpaces>685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2023-02-24T06:27:00Z</dcterms:created>
  <dc:creator>Zhi, Hongtao</dc:creator>
  <cp:lastModifiedBy>ybj</cp:lastModifiedBy>
  <dcterms:modified xsi:type="dcterms:W3CDTF">2023-02-24T10:22:00Z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2023-02-17T12:40:41Z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f8b19cd2-a112-4d3b-a8de-5dde7f5690c0</vt:lpwstr>
  </property>
  <property fmtid="{D5CDD505-2E9C-101B-9397-08002B2CF9AE}" pid="8" name="MSIP_Label_3c9bec58-8084-492e-8360-0e1cfe36408c_ContentBits">
    <vt:lpwstr>0</vt:lpwstr>
  </property>
  <property fmtid="{D5CDD505-2E9C-101B-9397-08002B2CF9AE}" pid="9" name="KSOProductBuildVer">
    <vt:lpwstr>2052-11.8.2.9980</vt:lpwstr>
  </property>
  <property fmtid="{D5CDD505-2E9C-101B-9397-08002B2CF9AE}" pid="10" name="ICV">
    <vt:lpwstr>1BD2F8C2E0EE4C15A8CDCA3EA8C8D576</vt:lpwstr>
  </property>
</Properties>
</file>